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28" w:rsidRDefault="00BA31A8" w:rsidP="00B959A9">
      <w:pPr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 xml:space="preserve">Guidance </w:t>
      </w:r>
      <w:r w:rsidR="00227D28">
        <w:rPr>
          <w:rFonts w:ascii="Arial" w:hAnsi="Arial" w:cs="Arial"/>
          <w:b/>
          <w:sz w:val="32"/>
          <w:szCs w:val="36"/>
        </w:rPr>
        <w:t xml:space="preserve">Protocol </w:t>
      </w:r>
      <w:r>
        <w:rPr>
          <w:rFonts w:ascii="Arial" w:hAnsi="Arial" w:cs="Arial"/>
          <w:b/>
          <w:sz w:val="32"/>
          <w:szCs w:val="36"/>
        </w:rPr>
        <w:t xml:space="preserve">for </w:t>
      </w:r>
      <w:r w:rsidR="00227D28">
        <w:rPr>
          <w:rFonts w:ascii="Arial" w:hAnsi="Arial" w:cs="Arial"/>
          <w:b/>
          <w:sz w:val="32"/>
          <w:szCs w:val="36"/>
        </w:rPr>
        <w:t xml:space="preserve">the Use of </w:t>
      </w:r>
    </w:p>
    <w:p w:rsidR="005B46DD" w:rsidRPr="00584E93" w:rsidRDefault="00BA31A8" w:rsidP="00B959A9">
      <w:pPr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Complete Freund’s Adjuvant (CFA)</w:t>
      </w:r>
    </w:p>
    <w:p w:rsidR="00A378ED" w:rsidRDefault="00A378ED" w:rsidP="002D2D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A378ED" w:rsidRPr="00C93054" w:rsidRDefault="005B46DD" w:rsidP="00C93054">
      <w:pPr>
        <w:pStyle w:val="NormalWeb"/>
        <w:spacing w:before="0" w:beforeAutospacing="0" w:after="24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Scope: </w:t>
      </w:r>
      <w:r w:rsidR="00227D28">
        <w:rPr>
          <w:rFonts w:ascii="Arial" w:hAnsi="Arial" w:cs="Arial"/>
          <w:bCs/>
          <w:color w:val="000000"/>
        </w:rPr>
        <w:t>T</w:t>
      </w:r>
      <w:r w:rsidR="00584E93">
        <w:rPr>
          <w:rFonts w:ascii="Arial" w:hAnsi="Arial" w:cs="Arial"/>
          <w:bCs/>
          <w:color w:val="000000"/>
        </w:rPr>
        <w:t xml:space="preserve">his </w:t>
      </w:r>
      <w:r w:rsidR="00BA31A8">
        <w:rPr>
          <w:rFonts w:ascii="Arial" w:hAnsi="Arial" w:cs="Arial"/>
          <w:bCs/>
          <w:color w:val="000000"/>
        </w:rPr>
        <w:t>protocol</w:t>
      </w:r>
      <w:r w:rsidR="00584E93">
        <w:rPr>
          <w:rFonts w:ascii="Arial" w:hAnsi="Arial" w:cs="Arial"/>
          <w:bCs/>
          <w:color w:val="000000"/>
        </w:rPr>
        <w:t xml:space="preserve"> is intended for work with </w:t>
      </w:r>
      <w:r w:rsidR="00BA31A8">
        <w:rPr>
          <w:rFonts w:ascii="Arial" w:hAnsi="Arial" w:cs="Arial"/>
          <w:bCs/>
          <w:color w:val="000000"/>
        </w:rPr>
        <w:t>Complete Freund’s Adjuvant</w:t>
      </w:r>
      <w:r w:rsidR="00ED1768">
        <w:rPr>
          <w:rFonts w:ascii="Arial" w:hAnsi="Arial" w:cs="Arial"/>
          <w:bCs/>
          <w:color w:val="000000"/>
        </w:rPr>
        <w:t xml:space="preserve"> in research laboratories.</w:t>
      </w:r>
    </w:p>
    <w:p w:rsidR="00BA31A8" w:rsidRDefault="00BA31A8" w:rsidP="00C93054">
      <w:pPr>
        <w:pStyle w:val="NormalWeb"/>
        <w:spacing w:before="0" w:beforeAutospacing="0" w:after="6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Background:</w:t>
      </w:r>
    </w:p>
    <w:p w:rsidR="00BA31A8" w:rsidRDefault="00BA31A8" w:rsidP="00BA31A8">
      <w:pPr>
        <w:pStyle w:val="NormalWeb"/>
        <w:numPr>
          <w:ilvl w:val="0"/>
          <w:numId w:val="48"/>
        </w:numPr>
        <w:spacing w:before="0" w:beforeAutospacing="0" w:after="6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Complete Freund’s Adjuvant (CFA) is an immunological agent that increases the antigenic response. </w:t>
      </w:r>
      <w:r w:rsidR="00361675">
        <w:rPr>
          <w:rFonts w:ascii="Arial" w:hAnsi="Arial" w:cs="Arial"/>
          <w:bCs/>
          <w:color w:val="000000"/>
        </w:rPr>
        <w:t>CFA contains heat-killed mycobacteria (typically Mycobacterium tuberculosis</w:t>
      </w:r>
      <w:r w:rsidR="00227D28">
        <w:rPr>
          <w:rFonts w:ascii="Arial" w:hAnsi="Arial" w:cs="Arial"/>
          <w:bCs/>
          <w:color w:val="000000"/>
        </w:rPr>
        <w:t>)</w:t>
      </w:r>
      <w:r w:rsidR="00361675">
        <w:rPr>
          <w:rFonts w:ascii="Arial" w:hAnsi="Arial" w:cs="Arial"/>
          <w:bCs/>
          <w:color w:val="000000"/>
        </w:rPr>
        <w:t xml:space="preserve">. </w:t>
      </w:r>
    </w:p>
    <w:p w:rsidR="00361675" w:rsidRDefault="00361675" w:rsidP="00BA31A8">
      <w:pPr>
        <w:pStyle w:val="NormalWeb"/>
        <w:numPr>
          <w:ilvl w:val="0"/>
          <w:numId w:val="48"/>
        </w:numPr>
        <w:spacing w:before="0" w:beforeAutospacing="0" w:after="6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Primary routes of occupational exposure to CFA include: accidental injection, conjunctival contact via splashing, and skin contact.</w:t>
      </w:r>
    </w:p>
    <w:p w:rsidR="00361675" w:rsidRDefault="00361675" w:rsidP="00BA31A8">
      <w:pPr>
        <w:pStyle w:val="NormalWeb"/>
        <w:numPr>
          <w:ilvl w:val="0"/>
          <w:numId w:val="48"/>
        </w:numPr>
        <w:spacing w:before="0" w:beforeAutospacing="0" w:after="6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Exposure to CFA via accidental exposure typically produces serious and immediate health problems including: severe swelling, granulomatous inflammation, pain, lesions, abscesses, necrosis and ulceration of tissue surrounding injection site.</w:t>
      </w:r>
    </w:p>
    <w:p w:rsidR="00361675" w:rsidRPr="00BA31A8" w:rsidRDefault="00361675" w:rsidP="00BA31A8">
      <w:pPr>
        <w:pStyle w:val="NormalWeb"/>
        <w:numPr>
          <w:ilvl w:val="0"/>
          <w:numId w:val="48"/>
        </w:numPr>
        <w:spacing w:before="0" w:beforeAutospacing="0" w:after="6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Eye and skin exposure may lead to severe ocular irritation, scar tissue formation, and temporary permanent tissue impairment.</w:t>
      </w:r>
    </w:p>
    <w:p w:rsidR="00227D28" w:rsidRDefault="00227D28" w:rsidP="00C93054">
      <w:pPr>
        <w:pStyle w:val="NormalWeb"/>
        <w:spacing w:before="0" w:beforeAutospacing="0" w:after="60" w:afterAutospacing="0"/>
        <w:rPr>
          <w:rFonts w:ascii="Arial" w:hAnsi="Arial" w:cs="Arial"/>
          <w:b/>
          <w:bCs/>
          <w:color w:val="000000"/>
        </w:rPr>
      </w:pPr>
    </w:p>
    <w:p w:rsidR="002512B8" w:rsidRDefault="002512B8" w:rsidP="00C93054">
      <w:pPr>
        <w:pStyle w:val="NormalWeb"/>
        <w:spacing w:before="0" w:beforeAutospacing="0" w:after="6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Before beginning work with </w:t>
      </w:r>
      <w:r w:rsidR="00BA31A8">
        <w:rPr>
          <w:rFonts w:ascii="Arial" w:hAnsi="Arial" w:cs="Arial"/>
          <w:b/>
          <w:bCs/>
          <w:color w:val="000000"/>
        </w:rPr>
        <w:t>CFA</w:t>
      </w:r>
      <w:r>
        <w:rPr>
          <w:rFonts w:ascii="Arial" w:hAnsi="Arial" w:cs="Arial"/>
          <w:b/>
          <w:bCs/>
          <w:color w:val="000000"/>
        </w:rPr>
        <w:t>:</w:t>
      </w:r>
    </w:p>
    <w:p w:rsidR="002C750A" w:rsidRDefault="008B191E" w:rsidP="00C93054">
      <w:pPr>
        <w:pStyle w:val="NormalWeb"/>
        <w:numPr>
          <w:ilvl w:val="0"/>
          <w:numId w:val="39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work with CFA will require IBC review before initiation of experiments. The IBC may include additional safety measures as indicated by a risk assessment.</w:t>
      </w:r>
    </w:p>
    <w:p w:rsidR="008B191E" w:rsidRDefault="008B191E" w:rsidP="00C93054">
      <w:pPr>
        <w:pStyle w:val="NormalWeb"/>
        <w:numPr>
          <w:ilvl w:val="0"/>
          <w:numId w:val="39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Prior to incorporating CFA into any protocol, consider using other, less problematic adjuvants.</w:t>
      </w:r>
    </w:p>
    <w:p w:rsidR="002512B8" w:rsidRDefault="002512B8" w:rsidP="00C93054">
      <w:pPr>
        <w:pStyle w:val="NormalWeb"/>
        <w:numPr>
          <w:ilvl w:val="0"/>
          <w:numId w:val="39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 xml:space="preserve">All </w:t>
      </w:r>
      <w:r w:rsidR="00C93054">
        <w:rPr>
          <w:rFonts w:ascii="Arial" w:hAnsi="Arial" w:cs="Arial"/>
          <w:color w:val="000000"/>
        </w:rPr>
        <w:t>research</w:t>
      </w:r>
      <w:r w:rsidRPr="005B46DD">
        <w:rPr>
          <w:rFonts w:ascii="Arial" w:hAnsi="Arial" w:cs="Arial"/>
          <w:color w:val="000000"/>
        </w:rPr>
        <w:t xml:space="preserve"> personnel must </w:t>
      </w:r>
      <w:r w:rsidR="00C93054">
        <w:rPr>
          <w:rFonts w:ascii="Arial" w:hAnsi="Arial" w:cs="Arial"/>
          <w:color w:val="000000"/>
        </w:rPr>
        <w:t xml:space="preserve">be added to the appropriate biosafety protocol (BSP) and must </w:t>
      </w:r>
      <w:r w:rsidRPr="005B46DD">
        <w:rPr>
          <w:rFonts w:ascii="Arial" w:hAnsi="Arial" w:cs="Arial"/>
          <w:color w:val="000000"/>
        </w:rPr>
        <w:t xml:space="preserve">complete Initial </w:t>
      </w:r>
      <w:r>
        <w:rPr>
          <w:rFonts w:ascii="Arial" w:hAnsi="Arial" w:cs="Arial"/>
          <w:color w:val="000000"/>
        </w:rPr>
        <w:t>Bios</w:t>
      </w:r>
      <w:r w:rsidRPr="005B46DD">
        <w:rPr>
          <w:rFonts w:ascii="Arial" w:hAnsi="Arial" w:cs="Arial"/>
          <w:color w:val="000000"/>
        </w:rPr>
        <w:t xml:space="preserve">afety </w:t>
      </w:r>
      <w:r>
        <w:rPr>
          <w:rFonts w:ascii="Arial" w:hAnsi="Arial" w:cs="Arial"/>
          <w:color w:val="000000"/>
        </w:rPr>
        <w:t xml:space="preserve">and Bloodborne Pathogen </w:t>
      </w:r>
      <w:r w:rsidRPr="005B46DD">
        <w:rPr>
          <w:rFonts w:ascii="Arial" w:hAnsi="Arial" w:cs="Arial"/>
          <w:color w:val="000000"/>
        </w:rPr>
        <w:t>Training</w:t>
      </w:r>
      <w:r>
        <w:rPr>
          <w:rFonts w:ascii="Arial" w:hAnsi="Arial" w:cs="Arial"/>
          <w:color w:val="000000"/>
        </w:rPr>
        <w:t>; refresher training must be completed annually.</w:t>
      </w:r>
    </w:p>
    <w:p w:rsidR="00960BCA" w:rsidRDefault="00437931" w:rsidP="00437931">
      <w:pPr>
        <w:pStyle w:val="NormalWeb"/>
        <w:numPr>
          <w:ilvl w:val="0"/>
          <w:numId w:val="39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 xml:space="preserve">All </w:t>
      </w:r>
      <w:r>
        <w:rPr>
          <w:rFonts w:ascii="Arial" w:hAnsi="Arial" w:cs="Arial"/>
          <w:color w:val="000000"/>
        </w:rPr>
        <w:t>research personnel</w:t>
      </w:r>
      <w:r w:rsidRPr="005B46D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that will work with CFA will be required to have a TB test; any individual with a positive TB test will be required to consult with Employee Health and Wellness regarding additional precautions.</w:t>
      </w:r>
    </w:p>
    <w:p w:rsidR="00437931" w:rsidRDefault="00437931" w:rsidP="00FE2112">
      <w:pPr>
        <w:pStyle w:val="NormalWeb"/>
        <w:spacing w:before="0" w:beforeAutospacing="0" w:after="60" w:afterAutospacing="0"/>
        <w:rPr>
          <w:rFonts w:ascii="Arial" w:hAnsi="Arial" w:cs="Arial"/>
          <w:b/>
          <w:color w:val="000000"/>
        </w:rPr>
      </w:pPr>
    </w:p>
    <w:p w:rsidR="007677D5" w:rsidRPr="007677D5" w:rsidRDefault="007677D5" w:rsidP="00FE2112">
      <w:pPr>
        <w:pStyle w:val="NormalWeb"/>
        <w:spacing w:before="0" w:beforeAutospacing="0" w:after="60" w:afterAutospacing="0"/>
        <w:rPr>
          <w:rFonts w:ascii="Arial" w:hAnsi="Arial" w:cs="Arial"/>
          <w:b/>
          <w:color w:val="000000"/>
        </w:rPr>
      </w:pPr>
      <w:r w:rsidRPr="007677D5">
        <w:rPr>
          <w:rFonts w:ascii="Arial" w:hAnsi="Arial" w:cs="Arial"/>
          <w:b/>
          <w:color w:val="000000"/>
        </w:rPr>
        <w:t>Attire and personal protective equipment (PPE) requirements:</w:t>
      </w:r>
      <w:r w:rsidR="002512B8" w:rsidRPr="007677D5">
        <w:rPr>
          <w:rFonts w:ascii="Arial" w:hAnsi="Arial" w:cs="Arial"/>
          <w:b/>
          <w:color w:val="000000"/>
        </w:rPr>
        <w:t xml:space="preserve"> </w:t>
      </w:r>
    </w:p>
    <w:p w:rsidR="007677D5" w:rsidRDefault="00ED1768" w:rsidP="00FE2112">
      <w:pPr>
        <w:pStyle w:val="NormalWeb"/>
        <w:numPr>
          <w:ilvl w:val="0"/>
          <w:numId w:val="40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Long</w:t>
      </w:r>
      <w:r w:rsidR="007677D5">
        <w:rPr>
          <w:rFonts w:ascii="Arial" w:hAnsi="Arial" w:cs="Arial"/>
          <w:color w:val="000000"/>
        </w:rPr>
        <w:t xml:space="preserve"> pants or </w:t>
      </w:r>
      <w:r>
        <w:rPr>
          <w:rFonts w:ascii="Arial" w:hAnsi="Arial" w:cs="Arial"/>
          <w:color w:val="000000"/>
        </w:rPr>
        <w:t>ankle length skirts</w:t>
      </w:r>
      <w:r w:rsidR="007677D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(no shorts or short skirts) </w:t>
      </w:r>
      <w:r w:rsidR="007677D5">
        <w:rPr>
          <w:rFonts w:ascii="Arial" w:hAnsi="Arial" w:cs="Arial"/>
          <w:color w:val="000000"/>
        </w:rPr>
        <w:t>and shoes that cover the entire foot (no sandals or flip flops, no ballet flats)</w:t>
      </w:r>
      <w:r w:rsidR="007677D5" w:rsidRPr="007677D5">
        <w:rPr>
          <w:rFonts w:ascii="Arial" w:hAnsi="Arial" w:cs="Arial"/>
          <w:color w:val="000000"/>
        </w:rPr>
        <w:t xml:space="preserve"> </w:t>
      </w:r>
      <w:r w:rsidR="007677D5">
        <w:rPr>
          <w:rFonts w:ascii="Arial" w:hAnsi="Arial" w:cs="Arial"/>
          <w:color w:val="000000"/>
        </w:rPr>
        <w:t xml:space="preserve">are required for entry into areas where </w:t>
      </w:r>
      <w:r w:rsidR="00BA31A8">
        <w:rPr>
          <w:rFonts w:ascii="Arial" w:hAnsi="Arial" w:cs="Arial"/>
          <w:color w:val="000000"/>
        </w:rPr>
        <w:t>CFA</w:t>
      </w:r>
      <w:r w:rsidR="007677D5">
        <w:rPr>
          <w:rFonts w:ascii="Arial" w:hAnsi="Arial" w:cs="Arial"/>
          <w:color w:val="000000"/>
        </w:rPr>
        <w:t xml:space="preserve"> </w:t>
      </w:r>
      <w:r w:rsidR="00437931">
        <w:rPr>
          <w:rFonts w:ascii="Arial" w:hAnsi="Arial" w:cs="Arial"/>
          <w:color w:val="000000"/>
        </w:rPr>
        <w:t>is</w:t>
      </w:r>
      <w:r w:rsidR="007677D5">
        <w:rPr>
          <w:rFonts w:ascii="Arial" w:hAnsi="Arial" w:cs="Arial"/>
          <w:color w:val="000000"/>
        </w:rPr>
        <w:t xml:space="preserve"> handled or stored.</w:t>
      </w:r>
    </w:p>
    <w:p w:rsidR="007677D5" w:rsidRDefault="007677D5" w:rsidP="00FE2112">
      <w:pPr>
        <w:pStyle w:val="NormalWeb"/>
        <w:numPr>
          <w:ilvl w:val="0"/>
          <w:numId w:val="40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Gloves, lab coat and eye protection (i.e. safety glasses) are required when working with </w:t>
      </w:r>
      <w:r w:rsidR="00BA31A8">
        <w:rPr>
          <w:rFonts w:ascii="Arial" w:hAnsi="Arial" w:cs="Arial"/>
          <w:color w:val="000000"/>
        </w:rPr>
        <w:t>CFA</w:t>
      </w:r>
      <w:r>
        <w:rPr>
          <w:rFonts w:ascii="Arial" w:hAnsi="Arial" w:cs="Arial"/>
          <w:color w:val="000000"/>
        </w:rPr>
        <w:t>.</w:t>
      </w:r>
    </w:p>
    <w:p w:rsidR="00227D28" w:rsidRDefault="00227D28" w:rsidP="00AB50D2">
      <w:pPr>
        <w:pStyle w:val="NormalWeb"/>
        <w:spacing w:before="0" w:beforeAutospacing="0" w:after="60" w:afterAutospacing="0"/>
        <w:rPr>
          <w:rFonts w:ascii="Arial" w:hAnsi="Arial" w:cs="Arial"/>
          <w:b/>
          <w:bCs/>
          <w:color w:val="000000"/>
        </w:rPr>
      </w:pPr>
    </w:p>
    <w:p w:rsidR="00437931" w:rsidRDefault="00437931" w:rsidP="00AB50D2">
      <w:pPr>
        <w:pStyle w:val="NormalWeb"/>
        <w:spacing w:before="0" w:beforeAutospacing="0" w:after="60" w:afterAutospacing="0"/>
        <w:rPr>
          <w:rFonts w:ascii="Arial" w:hAnsi="Arial" w:cs="Arial"/>
          <w:b/>
          <w:bCs/>
          <w:color w:val="000000"/>
        </w:rPr>
      </w:pPr>
    </w:p>
    <w:p w:rsidR="00437931" w:rsidRDefault="00437931" w:rsidP="00AB50D2">
      <w:pPr>
        <w:pStyle w:val="NormalWeb"/>
        <w:spacing w:before="0" w:beforeAutospacing="0" w:after="60" w:afterAutospacing="0"/>
        <w:rPr>
          <w:rFonts w:ascii="Arial" w:hAnsi="Arial" w:cs="Arial"/>
          <w:b/>
          <w:bCs/>
          <w:color w:val="000000"/>
        </w:rPr>
      </w:pPr>
    </w:p>
    <w:p w:rsidR="00227D28" w:rsidRPr="00437931" w:rsidRDefault="005B46DD" w:rsidP="00437931">
      <w:pPr>
        <w:pStyle w:val="NormalWeb"/>
        <w:spacing w:before="0" w:beforeAutospacing="0" w:after="60" w:afterAutospacing="0"/>
        <w:rPr>
          <w:rFonts w:ascii="Arial" w:hAnsi="Arial" w:cs="Arial"/>
          <w:b/>
          <w:bCs/>
          <w:color w:val="000000"/>
        </w:rPr>
      </w:pPr>
      <w:r w:rsidRPr="005B46DD">
        <w:rPr>
          <w:rFonts w:ascii="Arial" w:hAnsi="Arial" w:cs="Arial"/>
          <w:b/>
          <w:bCs/>
          <w:color w:val="000000"/>
        </w:rPr>
        <w:lastRenderedPageBreak/>
        <w:t>General safety procedures:</w:t>
      </w:r>
    </w:p>
    <w:p w:rsidR="00437931" w:rsidRDefault="00437931" w:rsidP="00437931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960BCA">
        <w:rPr>
          <w:rFonts w:ascii="Arial" w:hAnsi="Arial" w:cs="Arial"/>
          <w:color w:val="000000"/>
        </w:rPr>
        <w:t xml:space="preserve">Research personnel </w:t>
      </w:r>
      <w:r>
        <w:rPr>
          <w:rFonts w:ascii="Arial" w:hAnsi="Arial" w:cs="Arial"/>
          <w:color w:val="000000"/>
        </w:rPr>
        <w:t>will be educated on the hazards associated with CFA via a hazard communication document that will be maintained in the laboratory for reference.</w:t>
      </w:r>
    </w:p>
    <w:p w:rsidR="00437931" w:rsidRPr="00437931" w:rsidRDefault="00437931" w:rsidP="00437931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 tasks involving the use of CFA will only be conducted by competent laboratory staff </w:t>
      </w:r>
      <w:proofErr w:type="gramStart"/>
      <w:r>
        <w:rPr>
          <w:rFonts w:ascii="Arial" w:hAnsi="Arial" w:cs="Arial"/>
          <w:color w:val="000000"/>
        </w:rPr>
        <w:t>whom</w:t>
      </w:r>
      <w:proofErr w:type="gramEnd"/>
      <w:r>
        <w:rPr>
          <w:rFonts w:ascii="Arial" w:hAnsi="Arial" w:cs="Arial"/>
          <w:color w:val="000000"/>
        </w:rPr>
        <w:t xml:space="preserve"> have received appropriate training regarding the specific CFA-related health and safety risks, SOPs, and procedures to be followed in the event of an exposure incident.</w:t>
      </w:r>
    </w:p>
    <w:p w:rsidR="00C93054" w:rsidRDefault="005B46DD" w:rsidP="00AB50D2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>All persons entering the laboratory</w:t>
      </w:r>
      <w:r w:rsidR="00C93054">
        <w:rPr>
          <w:rFonts w:ascii="Arial" w:hAnsi="Arial" w:cs="Arial"/>
          <w:color w:val="000000"/>
        </w:rPr>
        <w:t xml:space="preserve"> </w:t>
      </w:r>
      <w:r w:rsidR="00FE2112">
        <w:rPr>
          <w:rFonts w:ascii="Arial" w:hAnsi="Arial" w:cs="Arial"/>
          <w:color w:val="000000"/>
        </w:rPr>
        <w:t>must</w:t>
      </w:r>
      <w:r w:rsidRPr="005B46DD">
        <w:rPr>
          <w:rFonts w:ascii="Arial" w:hAnsi="Arial" w:cs="Arial"/>
          <w:color w:val="000000"/>
        </w:rPr>
        <w:t xml:space="preserve"> be</w:t>
      </w:r>
      <w:r w:rsidR="00C93054">
        <w:rPr>
          <w:rFonts w:ascii="Arial" w:hAnsi="Arial" w:cs="Arial"/>
          <w:color w:val="000000"/>
        </w:rPr>
        <w:t xml:space="preserve"> advised of </w:t>
      </w:r>
      <w:r w:rsidR="00227D28">
        <w:rPr>
          <w:rFonts w:ascii="Arial" w:hAnsi="Arial" w:cs="Arial"/>
          <w:color w:val="000000"/>
        </w:rPr>
        <w:t xml:space="preserve">the </w:t>
      </w:r>
      <w:r w:rsidR="00C93054">
        <w:rPr>
          <w:rFonts w:ascii="Arial" w:hAnsi="Arial" w:cs="Arial"/>
          <w:color w:val="000000"/>
        </w:rPr>
        <w:t>potential hazards</w:t>
      </w:r>
      <w:r w:rsidR="008B191E">
        <w:rPr>
          <w:rFonts w:ascii="Arial" w:hAnsi="Arial" w:cs="Arial"/>
          <w:color w:val="000000"/>
        </w:rPr>
        <w:t xml:space="preserve"> associated with the use of CFA.</w:t>
      </w:r>
    </w:p>
    <w:p w:rsidR="005B46DD" w:rsidRPr="005B46DD" w:rsidRDefault="005B46DD" w:rsidP="00AB50D2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 xml:space="preserve">Access to the laboratory </w:t>
      </w:r>
      <w:r w:rsidR="00ED1768">
        <w:rPr>
          <w:rFonts w:ascii="Arial" w:hAnsi="Arial" w:cs="Arial"/>
          <w:color w:val="000000"/>
        </w:rPr>
        <w:t>must be</w:t>
      </w:r>
      <w:r w:rsidRPr="005B46DD">
        <w:rPr>
          <w:rFonts w:ascii="Arial" w:hAnsi="Arial" w:cs="Arial"/>
          <w:color w:val="000000"/>
        </w:rPr>
        <w:t xml:space="preserve"> limited to staff, or other persons with permission of the Principal Investigator, when work with </w:t>
      </w:r>
      <w:r w:rsidR="008B191E">
        <w:rPr>
          <w:rFonts w:ascii="Arial" w:hAnsi="Arial" w:cs="Arial"/>
          <w:color w:val="000000"/>
        </w:rPr>
        <w:t>CFA</w:t>
      </w:r>
      <w:r w:rsidRPr="005B46DD">
        <w:rPr>
          <w:rFonts w:ascii="Arial" w:hAnsi="Arial" w:cs="Arial"/>
          <w:color w:val="000000"/>
        </w:rPr>
        <w:t xml:space="preserve"> is being conducted.  </w:t>
      </w:r>
    </w:p>
    <w:p w:rsidR="005B46DD" w:rsidRDefault="00603163" w:rsidP="00AB50D2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Under NO </w:t>
      </w:r>
      <w:r w:rsidR="003555FE">
        <w:rPr>
          <w:rFonts w:ascii="Arial" w:hAnsi="Arial" w:cs="Arial"/>
          <w:color w:val="000000"/>
        </w:rPr>
        <w:t>CIRCUMSTANCES will gloves be reused.</w:t>
      </w:r>
    </w:p>
    <w:p w:rsidR="00ED1768" w:rsidRDefault="002B07C0" w:rsidP="00ED1768">
      <w:pPr>
        <w:numPr>
          <w:ilvl w:val="0"/>
          <w:numId w:val="41"/>
        </w:numPr>
        <w:tabs>
          <w:tab w:val="left" w:pos="360"/>
        </w:tabs>
        <w:spacing w:after="240" w:line="240" w:lineRule="auto"/>
        <w:rPr>
          <w:rFonts w:ascii="Arial" w:hAnsi="Arial" w:cs="Arial"/>
          <w:sz w:val="24"/>
          <w:szCs w:val="24"/>
        </w:rPr>
      </w:pPr>
      <w:r w:rsidRPr="00ED1768">
        <w:rPr>
          <w:rFonts w:ascii="Arial" w:hAnsi="Arial" w:cs="Arial"/>
          <w:sz w:val="24"/>
          <w:szCs w:val="24"/>
        </w:rPr>
        <w:t xml:space="preserve">All procedures must be performed </w:t>
      </w:r>
      <w:r w:rsidR="00ED1768">
        <w:rPr>
          <w:rFonts w:ascii="Arial" w:hAnsi="Arial" w:cs="Arial"/>
          <w:sz w:val="24"/>
          <w:szCs w:val="24"/>
        </w:rPr>
        <w:t xml:space="preserve">in a manner that </w:t>
      </w:r>
      <w:r w:rsidRPr="00ED1768">
        <w:rPr>
          <w:rFonts w:ascii="Arial" w:hAnsi="Arial" w:cs="Arial"/>
          <w:sz w:val="24"/>
          <w:szCs w:val="24"/>
        </w:rPr>
        <w:t>minimize</w:t>
      </w:r>
      <w:r w:rsidR="00ED1768">
        <w:rPr>
          <w:rFonts w:ascii="Arial" w:hAnsi="Arial" w:cs="Arial"/>
          <w:sz w:val="24"/>
          <w:szCs w:val="24"/>
        </w:rPr>
        <w:t>s</w:t>
      </w:r>
      <w:r w:rsidRPr="00ED1768">
        <w:rPr>
          <w:rFonts w:ascii="Arial" w:hAnsi="Arial" w:cs="Arial"/>
          <w:sz w:val="24"/>
          <w:szCs w:val="24"/>
        </w:rPr>
        <w:t xml:space="preserve"> creation of splashes or aerosols.</w:t>
      </w:r>
    </w:p>
    <w:p w:rsidR="00ED1768" w:rsidRPr="00ED1768" w:rsidRDefault="00ED1768" w:rsidP="00361675">
      <w:pPr>
        <w:tabs>
          <w:tab w:val="left" w:pos="360"/>
        </w:tabs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ED1768">
        <w:rPr>
          <w:rFonts w:ascii="Arial" w:hAnsi="Arial" w:cs="Arial"/>
          <w:b/>
          <w:sz w:val="24"/>
          <w:szCs w:val="24"/>
        </w:rPr>
        <w:t>Biosafety cabinets (BSCs):</w:t>
      </w:r>
    </w:p>
    <w:p w:rsidR="00B6318D" w:rsidRDefault="00B6318D" w:rsidP="00797BD1">
      <w:pPr>
        <w:numPr>
          <w:ilvl w:val="0"/>
          <w:numId w:val="42"/>
        </w:numPr>
        <w:tabs>
          <w:tab w:val="left" w:pos="360"/>
        </w:tabs>
        <w:spacing w:after="60" w:line="240" w:lineRule="auto"/>
        <w:rPr>
          <w:rFonts w:ascii="Arial" w:hAnsi="Arial" w:cs="Arial"/>
          <w:sz w:val="24"/>
          <w:szCs w:val="24"/>
        </w:rPr>
      </w:pPr>
      <w:r w:rsidRPr="00B6318D">
        <w:rPr>
          <w:rFonts w:ascii="Arial" w:hAnsi="Arial" w:cs="Arial"/>
          <w:sz w:val="24"/>
          <w:szCs w:val="24"/>
        </w:rPr>
        <w:t xml:space="preserve">A Biosafety Cabinet must be used for all </w:t>
      </w:r>
      <w:r w:rsidR="00361675">
        <w:rPr>
          <w:rFonts w:ascii="Arial" w:hAnsi="Arial" w:cs="Arial"/>
          <w:sz w:val="24"/>
          <w:szCs w:val="24"/>
        </w:rPr>
        <w:t>CFA preparations</w:t>
      </w:r>
      <w:r w:rsidR="008B191E">
        <w:rPr>
          <w:rFonts w:ascii="Arial" w:hAnsi="Arial" w:cs="Arial"/>
          <w:sz w:val="24"/>
          <w:szCs w:val="24"/>
        </w:rPr>
        <w:t>, d</w:t>
      </w:r>
      <w:r w:rsidR="00361675">
        <w:rPr>
          <w:rFonts w:ascii="Arial" w:hAnsi="Arial" w:cs="Arial"/>
          <w:sz w:val="24"/>
          <w:szCs w:val="24"/>
        </w:rPr>
        <w:t>rawing syringe</w:t>
      </w:r>
      <w:r w:rsidR="008B191E">
        <w:rPr>
          <w:rFonts w:ascii="Arial" w:hAnsi="Arial" w:cs="Arial"/>
          <w:sz w:val="24"/>
          <w:szCs w:val="24"/>
        </w:rPr>
        <w:t>s</w:t>
      </w:r>
      <w:r w:rsidR="00361675">
        <w:rPr>
          <w:rFonts w:ascii="Arial" w:hAnsi="Arial" w:cs="Arial"/>
          <w:sz w:val="24"/>
          <w:szCs w:val="24"/>
        </w:rPr>
        <w:t>, and animal injections.</w:t>
      </w:r>
    </w:p>
    <w:p w:rsidR="00A8130A" w:rsidRDefault="00A8130A" w:rsidP="008B191E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8B191E" w:rsidRPr="008B191E" w:rsidRDefault="00361675" w:rsidP="008B191E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Administering CFA to research animals </w:t>
      </w:r>
    </w:p>
    <w:p w:rsidR="00361675" w:rsidRPr="002C750A" w:rsidRDefault="00361675" w:rsidP="00361675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Following </w:t>
      </w:r>
      <w:r w:rsidR="002C750A">
        <w:rPr>
          <w:rFonts w:ascii="Arial" w:hAnsi="Arial" w:cs="Arial"/>
          <w:color w:val="000000"/>
        </w:rPr>
        <w:t>CFA injections, animals will be housed at ABSL1 with the same protocol that is followed for chemotherapeutic agents:</w:t>
      </w:r>
    </w:p>
    <w:p w:rsidR="002C750A" w:rsidRDefault="002C750A" w:rsidP="002C750A">
      <w:pPr>
        <w:pStyle w:val="NormalWeb"/>
        <w:numPr>
          <w:ilvl w:val="1"/>
          <w:numId w:val="49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2C750A">
        <w:rPr>
          <w:rFonts w:ascii="Arial" w:hAnsi="Arial" w:cs="Arial"/>
          <w:color w:val="000000"/>
        </w:rPr>
        <w:t>Signs will be placed on the animal room door and on the cages</w:t>
      </w:r>
      <w:r>
        <w:rPr>
          <w:rFonts w:ascii="Arial" w:hAnsi="Arial" w:cs="Arial"/>
          <w:color w:val="000000"/>
        </w:rPr>
        <w:t>.</w:t>
      </w:r>
    </w:p>
    <w:p w:rsidR="002C750A" w:rsidRDefault="002C750A" w:rsidP="002C750A">
      <w:pPr>
        <w:pStyle w:val="NormalWeb"/>
        <w:numPr>
          <w:ilvl w:val="1"/>
          <w:numId w:val="49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Lab personnel will attend to all animal husbandry needs for the first five days following CFA injections; on the 6</w:t>
      </w:r>
      <w:r w:rsidRPr="002C750A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day lab personnel will change cages and remove postings from cages and rooms, at which time Laboratory Animal Services (LAS) personnel will resume normal husbandry activities.</w:t>
      </w:r>
    </w:p>
    <w:p w:rsidR="002C750A" w:rsidRPr="002C750A" w:rsidRDefault="002C750A" w:rsidP="002C750A">
      <w:pPr>
        <w:pStyle w:val="NormalWeb"/>
        <w:numPr>
          <w:ilvl w:val="1"/>
          <w:numId w:val="49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soiled bedding up to and including the cage change on the 6</w:t>
      </w:r>
      <w:r w:rsidRPr="002C750A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day will be placed in the biohazard waste container.</w:t>
      </w:r>
    </w:p>
    <w:p w:rsidR="00A8130A" w:rsidRDefault="00A8130A" w:rsidP="00C93054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5B46DD" w:rsidRPr="005B46DD" w:rsidRDefault="00ED1768" w:rsidP="00C93054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Decontamination and waste handling</w:t>
      </w:r>
      <w:r w:rsidR="005B46DD" w:rsidRPr="005B46DD">
        <w:rPr>
          <w:rFonts w:ascii="Arial" w:hAnsi="Arial" w:cs="Arial"/>
          <w:b/>
          <w:color w:val="000000"/>
        </w:rPr>
        <w:t>:</w:t>
      </w:r>
    </w:p>
    <w:p w:rsidR="005B46DD" w:rsidRPr="005B46DD" w:rsidRDefault="005B46DD" w:rsidP="00611F07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>Surfaces</w:t>
      </w:r>
    </w:p>
    <w:p w:rsidR="005B46DD" w:rsidRPr="00A8130A" w:rsidRDefault="008B191E" w:rsidP="00A8130A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Areas where CFA is prepared and/or administered should be cleaned immediately following each task completion using a freshly prepared 10% bleach solution.</w:t>
      </w:r>
    </w:p>
    <w:p w:rsidR="005B46DD" w:rsidRPr="005B46DD" w:rsidRDefault="00960BCA" w:rsidP="00611F07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Solids</w:t>
      </w:r>
      <w:r w:rsidR="005B46DD" w:rsidRPr="005B46DD">
        <w:rPr>
          <w:rFonts w:ascii="Arial" w:hAnsi="Arial" w:cs="Arial"/>
          <w:color w:val="000000"/>
        </w:rPr>
        <w:t xml:space="preserve"> </w:t>
      </w:r>
    </w:p>
    <w:p w:rsidR="00A8130A" w:rsidRDefault="00A8130A" w:rsidP="00611F07">
      <w:pPr>
        <w:numPr>
          <w:ilvl w:val="1"/>
          <w:numId w:val="44"/>
        </w:numPr>
        <w:tabs>
          <w:tab w:val="left" w:pos="36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CFA-contaminated no sharp materials must be disposed in a biohazard container.</w:t>
      </w:r>
    </w:p>
    <w:p w:rsidR="00A8130A" w:rsidRDefault="00A8130A" w:rsidP="00A8130A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Sharps</w:t>
      </w:r>
    </w:p>
    <w:p w:rsidR="00A8130A" w:rsidRPr="00A8130A" w:rsidRDefault="00A8130A" w:rsidP="00A8130A">
      <w:pPr>
        <w:numPr>
          <w:ilvl w:val="1"/>
          <w:numId w:val="44"/>
        </w:numPr>
        <w:tabs>
          <w:tab w:val="left" w:pos="360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>Needles used for CFA injections will be disposed of in approved sharps containers immediately following use.</w:t>
      </w:r>
    </w:p>
    <w:p w:rsidR="007A02DD" w:rsidRDefault="00227D28" w:rsidP="00BB197F">
      <w:pPr>
        <w:pStyle w:val="NormalWeb"/>
        <w:spacing w:before="0" w:beforeAutospacing="0" w:after="60" w:afterAutospacing="0"/>
        <w:ind w:left="360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lastRenderedPageBreak/>
        <w:t>CFA</w:t>
      </w:r>
      <w:r w:rsidR="002101BE">
        <w:rPr>
          <w:rFonts w:ascii="Arial" w:hAnsi="Arial" w:cs="Arial"/>
          <w:b/>
          <w:color w:val="000000"/>
        </w:rPr>
        <w:t xml:space="preserve"> s</w:t>
      </w:r>
      <w:r w:rsidR="007A02DD" w:rsidRPr="007A02DD">
        <w:rPr>
          <w:rFonts w:ascii="Arial" w:hAnsi="Arial" w:cs="Arial"/>
          <w:b/>
          <w:color w:val="000000"/>
        </w:rPr>
        <w:t>pills</w:t>
      </w:r>
      <w:r w:rsidR="002101BE">
        <w:rPr>
          <w:rFonts w:ascii="Arial" w:hAnsi="Arial" w:cs="Arial"/>
          <w:b/>
          <w:color w:val="000000"/>
        </w:rPr>
        <w:t>/accidents/exposures</w:t>
      </w:r>
      <w:r w:rsidR="007A02DD">
        <w:rPr>
          <w:rFonts w:ascii="Arial" w:hAnsi="Arial" w:cs="Arial"/>
          <w:b/>
          <w:color w:val="000000"/>
        </w:rPr>
        <w:t>:</w:t>
      </w:r>
    </w:p>
    <w:p w:rsidR="002101BE" w:rsidRPr="002101BE" w:rsidRDefault="002101BE" w:rsidP="00BB197F">
      <w:pPr>
        <w:numPr>
          <w:ilvl w:val="0"/>
          <w:numId w:val="47"/>
        </w:numPr>
        <w:tabs>
          <w:tab w:val="left" w:pos="360"/>
        </w:tabs>
        <w:spacing w:after="60" w:line="240" w:lineRule="auto"/>
        <w:rPr>
          <w:rFonts w:ascii="Arial" w:hAnsi="Arial" w:cs="Arial"/>
          <w:sz w:val="24"/>
          <w:szCs w:val="24"/>
        </w:rPr>
      </w:pPr>
      <w:r w:rsidRPr="002101BE">
        <w:rPr>
          <w:rFonts w:ascii="Arial" w:hAnsi="Arial" w:cs="Arial"/>
          <w:sz w:val="24"/>
          <w:szCs w:val="24"/>
        </w:rPr>
        <w:t xml:space="preserve">Spills and </w:t>
      </w:r>
      <w:r w:rsidR="00BB197F">
        <w:rPr>
          <w:rFonts w:ascii="Arial" w:hAnsi="Arial" w:cs="Arial"/>
          <w:sz w:val="24"/>
          <w:szCs w:val="24"/>
        </w:rPr>
        <w:t xml:space="preserve">laboratory </w:t>
      </w:r>
      <w:r w:rsidRPr="002101BE">
        <w:rPr>
          <w:rFonts w:ascii="Arial" w:hAnsi="Arial" w:cs="Arial"/>
          <w:sz w:val="24"/>
          <w:szCs w:val="24"/>
        </w:rPr>
        <w:t xml:space="preserve">accidents that result in </w:t>
      </w:r>
      <w:r w:rsidR="00BB197F">
        <w:rPr>
          <w:rFonts w:ascii="Arial" w:hAnsi="Arial" w:cs="Arial"/>
          <w:sz w:val="24"/>
          <w:szCs w:val="24"/>
        </w:rPr>
        <w:t>exposure</w:t>
      </w:r>
      <w:r w:rsidRPr="002101BE">
        <w:rPr>
          <w:rFonts w:ascii="Arial" w:hAnsi="Arial" w:cs="Arial"/>
          <w:sz w:val="24"/>
          <w:szCs w:val="24"/>
        </w:rPr>
        <w:t xml:space="preserve"> to </w:t>
      </w:r>
      <w:r w:rsidR="00A8130A">
        <w:rPr>
          <w:rFonts w:ascii="Arial" w:hAnsi="Arial" w:cs="Arial"/>
          <w:sz w:val="24"/>
          <w:szCs w:val="24"/>
        </w:rPr>
        <w:t>CFA</w:t>
      </w:r>
      <w:r w:rsidRPr="002101BE">
        <w:rPr>
          <w:rFonts w:ascii="Arial" w:hAnsi="Arial" w:cs="Arial"/>
          <w:sz w:val="24"/>
          <w:szCs w:val="24"/>
        </w:rPr>
        <w:t xml:space="preserve"> must be immediately reported to the Principal Investigator </w:t>
      </w:r>
      <w:r>
        <w:rPr>
          <w:rFonts w:ascii="Arial" w:hAnsi="Arial" w:cs="Arial"/>
          <w:sz w:val="24"/>
          <w:szCs w:val="24"/>
        </w:rPr>
        <w:t>and the Biological Safety Office.</w:t>
      </w:r>
    </w:p>
    <w:p w:rsidR="00C02A3A" w:rsidRPr="002101BE" w:rsidRDefault="005B46DD" w:rsidP="00BB197F">
      <w:pPr>
        <w:pStyle w:val="NormalWeb"/>
        <w:numPr>
          <w:ilvl w:val="0"/>
          <w:numId w:val="47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2101BE">
        <w:rPr>
          <w:rFonts w:ascii="Arial" w:hAnsi="Arial" w:cs="Arial"/>
          <w:color w:val="000000"/>
        </w:rPr>
        <w:t xml:space="preserve">Please consult </w:t>
      </w:r>
      <w:r w:rsidR="00BB197F">
        <w:rPr>
          <w:rFonts w:ascii="Arial" w:hAnsi="Arial" w:cs="Arial"/>
          <w:color w:val="000000"/>
        </w:rPr>
        <w:t xml:space="preserve">Augusta University’s Emergency Response flipchart and </w:t>
      </w:r>
      <w:r w:rsidRPr="002101BE">
        <w:rPr>
          <w:rFonts w:ascii="Arial" w:hAnsi="Arial" w:cs="Arial"/>
          <w:color w:val="000000"/>
        </w:rPr>
        <w:t>the B</w:t>
      </w:r>
      <w:r w:rsidR="00584E93" w:rsidRPr="002101BE">
        <w:rPr>
          <w:rFonts w:ascii="Arial" w:hAnsi="Arial" w:cs="Arial"/>
          <w:color w:val="000000"/>
        </w:rPr>
        <w:t xml:space="preserve">iological Safety Office webpage </w:t>
      </w:r>
      <w:r w:rsidRPr="002101BE">
        <w:rPr>
          <w:rFonts w:ascii="Arial" w:hAnsi="Arial" w:cs="Arial"/>
          <w:color w:val="000000"/>
        </w:rPr>
        <w:t xml:space="preserve">for guidance documents that are specific to spill clean-up, accidents and injuries: </w:t>
      </w:r>
      <w:hyperlink r:id="rId8" w:history="1">
        <w:r w:rsidR="002101BE" w:rsidRPr="002101BE">
          <w:rPr>
            <w:rStyle w:val="Hyperlink"/>
            <w:rFonts w:ascii="Arial" w:hAnsi="Arial" w:cs="Arial"/>
          </w:rPr>
          <w:t>http://www.augusta.edu/services/ehs/biosafe/</w:t>
        </w:r>
      </w:hyperlink>
      <w:r w:rsidR="00BB197F">
        <w:rPr>
          <w:rStyle w:val="Hyperlink"/>
          <w:rFonts w:ascii="Arial" w:hAnsi="Arial" w:cs="Arial"/>
        </w:rPr>
        <w:t>.</w:t>
      </w:r>
    </w:p>
    <w:p w:rsidR="00C02A3A" w:rsidRPr="00C02A3A" w:rsidRDefault="00C02A3A" w:rsidP="00BB197F">
      <w:pPr>
        <w:pStyle w:val="NormalWeb"/>
        <w:spacing w:before="0" w:beforeAutospacing="0" w:after="60" w:afterAutospacing="0"/>
        <w:rPr>
          <w:rFonts w:ascii="Arial" w:hAnsi="Arial" w:cs="Arial"/>
          <w:b/>
          <w:sz w:val="2"/>
          <w:szCs w:val="2"/>
        </w:rPr>
      </w:pPr>
    </w:p>
    <w:sectPr w:rsidR="00C02A3A" w:rsidRPr="00C02A3A" w:rsidSect="00C02A3A">
      <w:headerReference w:type="default" r:id="rId9"/>
      <w:footerReference w:type="default" r:id="rId10"/>
      <w:pgSz w:w="12240" w:h="15840"/>
      <w:pgMar w:top="245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9C" w:rsidRDefault="00583F9C" w:rsidP="007F7C35">
      <w:pPr>
        <w:spacing w:after="0" w:line="240" w:lineRule="auto"/>
      </w:pPr>
      <w:r>
        <w:separator/>
      </w:r>
    </w:p>
  </w:endnote>
  <w:endnote w:type="continuationSeparator" w:id="0">
    <w:p w:rsidR="00583F9C" w:rsidRDefault="00583F9C" w:rsidP="007F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439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797A" w:rsidRDefault="00C6797A" w:rsidP="00C6797A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9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7C35" w:rsidRPr="00C6797A" w:rsidRDefault="00DC1230">
    <w:pPr>
      <w:pStyle w:val="Footer"/>
      <w:rPr>
        <w:sz w:val="18"/>
        <w:szCs w:val="18"/>
      </w:rPr>
    </w:pPr>
    <w:r>
      <w:rPr>
        <w:sz w:val="18"/>
        <w:szCs w:val="18"/>
      </w:rPr>
      <w:t xml:space="preserve">Version </w:t>
    </w:r>
    <w:r w:rsidR="007738B8">
      <w:rPr>
        <w:sz w:val="18"/>
        <w:szCs w:val="18"/>
      </w:rPr>
      <w:t>1.10.2017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9C" w:rsidRDefault="00583F9C" w:rsidP="007F7C35">
      <w:pPr>
        <w:spacing w:after="0" w:line="240" w:lineRule="auto"/>
      </w:pPr>
      <w:r>
        <w:separator/>
      </w:r>
    </w:p>
  </w:footnote>
  <w:footnote w:type="continuationSeparator" w:id="0">
    <w:p w:rsidR="00583F9C" w:rsidRDefault="00583F9C" w:rsidP="007F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D7" w:rsidRDefault="00C02A3A" w:rsidP="00DC38D7">
    <w:pPr>
      <w:pStyle w:val="Header"/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5E0B7C3" wp14:editId="48F69B77">
              <wp:simplePos x="0" y="0"/>
              <wp:positionH relativeFrom="column">
                <wp:posOffset>4904509</wp:posOffset>
              </wp:positionH>
              <wp:positionV relativeFrom="paragraph">
                <wp:posOffset>-187037</wp:posOffset>
              </wp:positionV>
              <wp:extent cx="1627909" cy="67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7909" cy="67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2A3A" w:rsidRDefault="00C02A3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54B160" wp14:editId="0E256D65">
                                <wp:extent cx="1660041" cy="824345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AugustaUniversity_H_RGB (1)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2761" cy="8505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5E0B7C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86.2pt;margin-top:-14.75pt;width:128.2pt;height:5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e/fAIAAGIFAAAOAAAAZHJzL2Uyb0RvYy54bWysVEtPGzEQvlfqf7B8L5uk4ZGIDUpBVJUQ&#10;oELF2fHaZFXb49pOdtNfz4x3N0S0F6pedseebz7P+/yitYZtVYg1uJKPj0acKSehqt1zyX88Xn86&#10;4ywm4SphwKmS71TkF4uPH84bP1cTWIOpVGBI4uK88SVfp+TnRRHlWlkRj8Arh0oNwYqEx/BcVEE0&#10;yG5NMRmNTooGQuUDSBUj3l51Sr7I/Forme60jioxU3L0LeVvyN8VfYvFuZg/B+HXtezdEP/ghRW1&#10;w0f3VFciCbYJ9R9UtpYBIuh0JMEWoHUtVY4BoxmP3kTzsBZe5VgwOdHv0xT/H6283d4HVlclx0I5&#10;YbFEj6pN7Au07Iyy0/g4R9CDR1hq8RqrPNxHvKSgWx0s/TEchnrM826fWyKTZHQyOZ2NZpxJ1J2c&#10;jmfTY6IpXq19iOmrAstIKHnA2uWUiu1NTB10gNBjDq5rY3L9jGMNkn4+HmWDvQbJjSOsyp3Q01BE&#10;nedZSjujCGPcd6UxEzkAusg9qC5NYFuB3SOkVC7l2DMvogml0Yn3GPb4V6/eY9zFMbwMLu2Nbe0g&#10;5OjfuF39HFzWHR5zfhA3ialdtX2lV1DtsNABukGJXl7XWI0bEdO9CDgZWFuc9nSHH20Asw69xNka&#10;wu+/3RMeGxa1nDU4aSWPvzYiKM7MN4etPBtPpzSa+TA9Pp3gIRxqVocat7GXgOUY417xMouET2YQ&#10;dQD7hEthSa+iSjiJb5c8DeJl6uYfl4pUy2UG4TB6kW7cg5dETdWhXntsn0TwfUMmbOVbGGZSzN/0&#10;ZYclSwfLTQJd56alBHdZ7ROPg5zbvl86tCkOzxn1uhoXLwAAAP//AwBQSwMEFAAGAAgAAAAhABBO&#10;LjniAAAACwEAAA8AAABkcnMvZG93bnJldi54bWxMj8FOwzAQRO9I/IO1SNxaB0PbEOJUVaQKCcGh&#10;pRduTuwmEfY6xG4b+vXdnuC4mqfZN/lydJYdzRA6jxIepgkwg7XXHTYSdp/rSQosRIVaWY9Gwq8J&#10;sCxub3KVaX/CjTluY8OoBEOmJLQx9hnnoW6NU2Hqe4OU7f3gVKRzaLge1InKneUiSebcqQ7pQ6t6&#10;U7am/t4enIS3cv2hNpVw6dmWr+/7Vf+z+5pJeX83rl6ARTPGPxiu+qQOBTlV/oA6MCthsRBPhEqY&#10;iOcZsCuRiJTWVJTNH4EXOf+/obgAAAD//wMAUEsBAi0AFAAGAAgAAAAhALaDOJL+AAAA4QEAABMA&#10;AAAAAAAAAAAAAAAAAAAAAFtDb250ZW50X1R5cGVzXS54bWxQSwECLQAUAAYACAAAACEAOP0h/9YA&#10;AACUAQAACwAAAAAAAAAAAAAAAAAvAQAAX3JlbHMvLnJlbHNQSwECLQAUAAYACAAAACEAH8Xnv3wC&#10;AABiBQAADgAAAAAAAAAAAAAAAAAuAgAAZHJzL2Uyb0RvYy54bWxQSwECLQAUAAYACAAAACEAEE4u&#10;OeIAAAALAQAADwAAAAAAAAAAAAAAAADWBAAAZHJzL2Rvd25yZXYueG1sUEsFBgAAAAAEAAQA8wAA&#10;AOUFAAAAAA==&#10;" filled="f" stroked="f" strokeweight=".5pt">
              <v:textbox>
                <w:txbxContent>
                  <w:p w:rsidR="00C02A3A" w:rsidRDefault="00C02A3A">
                    <w:r>
                      <w:rPr>
                        <w:noProof/>
                      </w:rPr>
                      <w:drawing>
                        <wp:inline distT="0" distB="0" distL="0" distR="0" wp14:anchorId="2A54B160" wp14:editId="0E256D65">
                          <wp:extent cx="1660041" cy="824345"/>
                          <wp:effectExtent l="0" t="0" r="0" b="0"/>
                          <wp:docPr id="28" name="Pictur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AugustaUniversity_H_RGB (1)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2761" cy="8505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C38D7" w:rsidRPr="00DC38D7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B7062A" wp14:editId="03743C3F">
              <wp:simplePos x="0" y="0"/>
              <wp:positionH relativeFrom="column">
                <wp:posOffset>47625</wp:posOffset>
              </wp:positionH>
              <wp:positionV relativeFrom="paragraph">
                <wp:posOffset>142875</wp:posOffset>
              </wp:positionV>
              <wp:extent cx="4050665" cy="368935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0665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38D7" w:rsidRPr="00DC38D7" w:rsidRDefault="00DC38D7" w:rsidP="00DC38D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i/>
                              <w:iCs/>
                              <w:color w:val="8DB3E2" w:themeColor="text2" w:themeTint="66"/>
                              <w:kern w:val="24"/>
                            </w:rPr>
                          </w:pPr>
                          <w:r w:rsidRPr="00DC38D7">
                            <w:rPr>
                              <w:rFonts w:asciiTheme="minorHAnsi" w:hAnsi="Calibri" w:cstheme="minorBidi"/>
                              <w:b/>
                              <w:i/>
                              <w:iCs/>
                              <w:color w:val="8DB3E2" w:themeColor="text2" w:themeTint="66"/>
                              <w:kern w:val="24"/>
                            </w:rPr>
                            <w:t>Environmental Health and Safety Division</w:t>
                          </w:r>
                        </w:p>
                        <w:p w:rsidR="00DC38D7" w:rsidRPr="00DC38D7" w:rsidRDefault="00DC38D7" w:rsidP="00DC38D7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</w:rPr>
                          </w:pPr>
                          <w:r w:rsidRPr="00DC38D7">
                            <w:rPr>
                              <w:rFonts w:asciiTheme="minorHAnsi" w:hAnsi="Calibri" w:cstheme="minorBidi"/>
                              <w:b/>
                              <w:i/>
                              <w:iCs/>
                              <w:color w:val="8DB3E2" w:themeColor="text2" w:themeTint="66"/>
                              <w:kern w:val="24"/>
                            </w:rPr>
                            <w:t>Biological Safety Office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37B7062A" id="TextBox 5" o:spid="_x0000_s1027" type="#_x0000_t202" style="position:absolute;left:0;text-align:left;margin-left:3.75pt;margin-top:11.25pt;width:318.95pt;height:29.05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1PZkgEAABIDAAAOAAAAZHJzL2Uyb0RvYy54bWysUk1PwzAMvSPxH6LcWctgFVTrJj4EFwRI&#10;wA/I0mSN1MRRHNbu3+NkYyC4IS5pYzvP7z17vhxtzzYqoAHX8NNJyZlyElrj1g1/e707ueAMo3Ct&#10;6MGphm8V8uXi+Gg++FpNoYO+VYERiMN68A3vYvR1UaDslBU4Aa8cJTUEKyJdw7pogxgI3fbFtCyr&#10;YoDQ+gBSIVL0dpfki4yvtZLxSWtUkfUNJ24xnyGfq3QWi7mo10H4zsg9DfEHFlYYR00PULciCvYe&#10;zC8oa2QABB0nEmwBWhupsgZSc1r+UPPSCa+yFjIH/cEm/D9Y+bh5Dsy0Da84c8LSiF7VGK9hZLNk&#10;zuCxppoXT1VxpDAN+TOOFEyaRx1s+pIaRnmyeXuwlrCYpOB5OSurasaZpNxZdXF5luGLr9c+YLxX&#10;YFn6aXig0WVHxeYBIzGh0s+S1MzBnen7FE8Ud1TSXxxXY9ZzoLmCdkvsBxpywx1tIWch9jeQNyJB&#10;ob96jwSXuySM3Ys9NBmfm++XJE32+z1Xfa3y4gMAAP//AwBQSwMEFAAGAAgAAAAhAGUYxIfaAAAA&#10;BwEAAA8AAABkcnMvZG93bnJldi54bWxMjkFOwzAQRfdI3MEaJHbUaZSENsSpUIE1UDiAG0/jkHgc&#10;xW4bOD3TFaxGX//rzas2sxvECafQeVKwXCQgkBpvOmoVfH683K1AhKjJ6METKvjGAJv6+qrSpfFn&#10;esfTLraCIRRKrcDGOJZShsai02HhRyTuDn5yOnKcWmkmfWa4G2SaJIV0uiP+YPWIW4tNvzs6BavE&#10;vfb9On0LLvtZ5nb75J/HL6Vub+bHBxAR5/g3hos+q0PNTnt/JBPEoOA+56GCNOXLdZHlGYj9hV2A&#10;rCv537/+BQAA//8DAFBLAQItABQABgAIAAAAIQC2gziS/gAAAOEBAAATAAAAAAAAAAAAAAAAAAAA&#10;AABbQ29udGVudF9UeXBlc10ueG1sUEsBAi0AFAAGAAgAAAAhADj9If/WAAAAlAEAAAsAAAAAAAAA&#10;AAAAAAAALwEAAF9yZWxzLy5yZWxzUEsBAi0AFAAGAAgAAAAhAKPvU9mSAQAAEgMAAA4AAAAAAAAA&#10;AAAAAAAALgIAAGRycy9lMm9Eb2MueG1sUEsBAi0AFAAGAAgAAAAhAGUYxIfaAAAABwEAAA8AAAAA&#10;AAAAAAAAAAAA7AMAAGRycy9kb3ducmV2LnhtbFBLBQYAAAAABAAEAPMAAADzBAAAAAA=&#10;" filled="f" stroked="f">
              <v:textbox style="mso-fit-shape-to-text:t">
                <w:txbxContent>
                  <w:p w:rsidR="00DC38D7" w:rsidRPr="00DC38D7" w:rsidRDefault="00DC38D7" w:rsidP="00DC38D7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i/>
                        <w:iCs/>
                        <w:color w:val="8DB3E2" w:themeColor="text2" w:themeTint="66"/>
                        <w:kern w:val="24"/>
                      </w:rPr>
                    </w:pPr>
                    <w:r w:rsidRPr="00DC38D7">
                      <w:rPr>
                        <w:rFonts w:asciiTheme="minorHAnsi" w:hAnsi="Calibri" w:cstheme="minorBidi"/>
                        <w:b/>
                        <w:i/>
                        <w:iCs/>
                        <w:color w:val="8DB3E2" w:themeColor="text2" w:themeTint="66"/>
                        <w:kern w:val="24"/>
                      </w:rPr>
                      <w:t>Environmental Health and Safety Division</w:t>
                    </w:r>
                  </w:p>
                  <w:p w:rsidR="00DC38D7" w:rsidRPr="00DC38D7" w:rsidRDefault="00DC38D7" w:rsidP="00DC38D7">
                    <w:pPr>
                      <w:pStyle w:val="NormalWeb"/>
                      <w:spacing w:before="0" w:beforeAutospacing="0" w:after="0" w:afterAutospacing="0"/>
                      <w:rPr>
                        <w:b/>
                      </w:rPr>
                    </w:pPr>
                    <w:r w:rsidRPr="00DC38D7">
                      <w:rPr>
                        <w:rFonts w:asciiTheme="minorHAnsi" w:hAnsi="Calibri" w:cstheme="minorBidi"/>
                        <w:b/>
                        <w:i/>
                        <w:iCs/>
                        <w:color w:val="8DB3E2" w:themeColor="text2" w:themeTint="66"/>
                        <w:kern w:val="24"/>
                      </w:rPr>
                      <w:t>Biological Safety Office</w:t>
                    </w:r>
                  </w:p>
                </w:txbxContent>
              </v:textbox>
            </v:shape>
          </w:pict>
        </mc:Fallback>
      </mc:AlternateContent>
    </w:r>
    <w:r w:rsidR="00DC38D7" w:rsidRPr="00DC38D7"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1D37FF33" wp14:editId="084617DB">
          <wp:extent cx="685800" cy="6858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019" cy="688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38D7">
      <w:tab/>
    </w:r>
    <w:r w:rsidR="00DC38D7">
      <w:tab/>
      <w:t xml:space="preserve">        </w:t>
    </w:r>
    <w:r w:rsidR="00DC38D7">
      <w:tab/>
    </w:r>
    <w:r w:rsidR="00DC38D7">
      <w:tab/>
    </w:r>
    <w:r w:rsidR="00DC38D7">
      <w:tab/>
    </w:r>
    <w:r w:rsidR="00DC38D7">
      <w:tab/>
    </w:r>
    <w:r w:rsidR="00DC38D7">
      <w:tab/>
    </w:r>
    <w:r w:rsidR="00DC38D7">
      <w:tab/>
    </w:r>
    <w:r w:rsidR="00DC38D7">
      <w:tab/>
    </w:r>
    <w:r w:rsidR="00DC38D7">
      <w:tab/>
    </w:r>
  </w:p>
  <w:p w:rsidR="00DC38D7" w:rsidRDefault="00DC3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208"/>
    <w:multiLevelType w:val="hybridMultilevel"/>
    <w:tmpl w:val="A6383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E3D3F"/>
    <w:multiLevelType w:val="hybridMultilevel"/>
    <w:tmpl w:val="D6CE1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7D743C"/>
    <w:multiLevelType w:val="hybridMultilevel"/>
    <w:tmpl w:val="F4D64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4427C7"/>
    <w:multiLevelType w:val="hybridMultilevel"/>
    <w:tmpl w:val="5E427790"/>
    <w:lvl w:ilvl="0" w:tplc="FA6A4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A71F1"/>
    <w:multiLevelType w:val="multilevel"/>
    <w:tmpl w:val="645E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DE2D86"/>
    <w:multiLevelType w:val="hybridMultilevel"/>
    <w:tmpl w:val="614C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D6719"/>
    <w:multiLevelType w:val="hybridMultilevel"/>
    <w:tmpl w:val="E580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B0DC7"/>
    <w:multiLevelType w:val="hybridMultilevel"/>
    <w:tmpl w:val="6CD8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C724F0"/>
    <w:multiLevelType w:val="hybridMultilevel"/>
    <w:tmpl w:val="88AA5246"/>
    <w:lvl w:ilvl="0" w:tplc="0409000F">
      <w:start w:val="1"/>
      <w:numFmt w:val="decimal"/>
      <w:lvlText w:val="%1."/>
      <w:lvlJc w:val="left"/>
      <w:pPr>
        <w:ind w:left="2050" w:hanging="360"/>
      </w:pPr>
    </w:lvl>
    <w:lvl w:ilvl="1" w:tplc="0409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10" w:hanging="180"/>
      </w:pPr>
      <w:rPr>
        <w:rFonts w:cs="Times New Roman"/>
      </w:rPr>
    </w:lvl>
  </w:abstractNum>
  <w:abstractNum w:abstractNumId="9">
    <w:nsid w:val="131B2982"/>
    <w:multiLevelType w:val="hybridMultilevel"/>
    <w:tmpl w:val="E7424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31AF6"/>
    <w:multiLevelType w:val="hybridMultilevel"/>
    <w:tmpl w:val="D7F43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82787"/>
    <w:multiLevelType w:val="hybridMultilevel"/>
    <w:tmpl w:val="E160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36726"/>
    <w:multiLevelType w:val="multilevel"/>
    <w:tmpl w:val="D00A9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1343E7"/>
    <w:multiLevelType w:val="multilevel"/>
    <w:tmpl w:val="9148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0D95737"/>
    <w:multiLevelType w:val="hybridMultilevel"/>
    <w:tmpl w:val="363A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64499"/>
    <w:multiLevelType w:val="hybridMultilevel"/>
    <w:tmpl w:val="EA6C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A161D"/>
    <w:multiLevelType w:val="multilevel"/>
    <w:tmpl w:val="35CE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CC123B"/>
    <w:multiLevelType w:val="hybridMultilevel"/>
    <w:tmpl w:val="24982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123FD"/>
    <w:multiLevelType w:val="hybridMultilevel"/>
    <w:tmpl w:val="10BC5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73617"/>
    <w:multiLevelType w:val="hybridMultilevel"/>
    <w:tmpl w:val="30DE1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B4908"/>
    <w:multiLevelType w:val="hybridMultilevel"/>
    <w:tmpl w:val="1E12F23A"/>
    <w:lvl w:ilvl="0" w:tplc="4190B806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>
    <w:nsid w:val="39BA51C7"/>
    <w:multiLevelType w:val="hybridMultilevel"/>
    <w:tmpl w:val="6DD6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E53E3"/>
    <w:multiLevelType w:val="hybridMultilevel"/>
    <w:tmpl w:val="C1E0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D4EF1"/>
    <w:multiLevelType w:val="multilevel"/>
    <w:tmpl w:val="64B6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DB4C23"/>
    <w:multiLevelType w:val="hybridMultilevel"/>
    <w:tmpl w:val="3D70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041064"/>
    <w:multiLevelType w:val="hybridMultilevel"/>
    <w:tmpl w:val="DE6C68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3DEA06C1"/>
    <w:multiLevelType w:val="hybridMultilevel"/>
    <w:tmpl w:val="8390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4906BD"/>
    <w:multiLevelType w:val="multilevel"/>
    <w:tmpl w:val="4820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4BE0304"/>
    <w:multiLevelType w:val="multilevel"/>
    <w:tmpl w:val="A9A4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3A33DB"/>
    <w:multiLevelType w:val="hybridMultilevel"/>
    <w:tmpl w:val="FE9E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98619E"/>
    <w:multiLevelType w:val="hybridMultilevel"/>
    <w:tmpl w:val="AE740BEC"/>
    <w:lvl w:ilvl="0" w:tplc="C144E0A6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>
    <w:nsid w:val="4ADA59B5"/>
    <w:multiLevelType w:val="hybridMultilevel"/>
    <w:tmpl w:val="5D7CB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6B4685"/>
    <w:multiLevelType w:val="hybridMultilevel"/>
    <w:tmpl w:val="4A4CC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827F4E"/>
    <w:multiLevelType w:val="hybridMultilevel"/>
    <w:tmpl w:val="71C060B6"/>
    <w:lvl w:ilvl="0" w:tplc="FA6A4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C069DA"/>
    <w:multiLevelType w:val="hybridMultilevel"/>
    <w:tmpl w:val="692C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36103B"/>
    <w:multiLevelType w:val="hybridMultilevel"/>
    <w:tmpl w:val="9EB2A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7D5C33"/>
    <w:multiLevelType w:val="hybridMultilevel"/>
    <w:tmpl w:val="D368BBB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>
    <w:nsid w:val="5B3419AA"/>
    <w:multiLevelType w:val="hybridMultilevel"/>
    <w:tmpl w:val="337EE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8867C1"/>
    <w:multiLevelType w:val="hybridMultilevel"/>
    <w:tmpl w:val="A5BC9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783FFE"/>
    <w:multiLevelType w:val="hybridMultilevel"/>
    <w:tmpl w:val="45B8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205A16"/>
    <w:multiLevelType w:val="hybridMultilevel"/>
    <w:tmpl w:val="ADCE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B94FEA"/>
    <w:multiLevelType w:val="hybridMultilevel"/>
    <w:tmpl w:val="87B81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6B5F7B"/>
    <w:multiLevelType w:val="hybridMultilevel"/>
    <w:tmpl w:val="85B6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3A2B99"/>
    <w:multiLevelType w:val="multilevel"/>
    <w:tmpl w:val="8EB4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B82544"/>
    <w:multiLevelType w:val="multilevel"/>
    <w:tmpl w:val="A380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AD218BE"/>
    <w:multiLevelType w:val="hybridMultilevel"/>
    <w:tmpl w:val="DC0A1B92"/>
    <w:lvl w:ilvl="0" w:tplc="18CA7522">
      <w:start w:val="7"/>
      <w:numFmt w:val="decimal"/>
      <w:lvlText w:val="%1."/>
      <w:lvlJc w:val="left"/>
      <w:pPr>
        <w:ind w:left="2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01484"/>
    <w:multiLevelType w:val="hybridMultilevel"/>
    <w:tmpl w:val="7798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9E78BF"/>
    <w:multiLevelType w:val="hybridMultilevel"/>
    <w:tmpl w:val="89F03F22"/>
    <w:lvl w:ilvl="0" w:tplc="6D1C28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5D1B5E"/>
    <w:multiLevelType w:val="hybridMultilevel"/>
    <w:tmpl w:val="46EE9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33"/>
  </w:num>
  <w:num w:numId="4">
    <w:abstractNumId w:val="18"/>
  </w:num>
  <w:num w:numId="5">
    <w:abstractNumId w:val="41"/>
  </w:num>
  <w:num w:numId="6">
    <w:abstractNumId w:val="7"/>
  </w:num>
  <w:num w:numId="7">
    <w:abstractNumId w:val="6"/>
  </w:num>
  <w:num w:numId="8">
    <w:abstractNumId w:val="8"/>
  </w:num>
  <w:num w:numId="9">
    <w:abstractNumId w:val="48"/>
  </w:num>
  <w:num w:numId="10">
    <w:abstractNumId w:val="25"/>
  </w:num>
  <w:num w:numId="11">
    <w:abstractNumId w:val="36"/>
  </w:num>
  <w:num w:numId="12">
    <w:abstractNumId w:val="47"/>
  </w:num>
  <w:num w:numId="13">
    <w:abstractNumId w:val="45"/>
  </w:num>
  <w:num w:numId="14">
    <w:abstractNumId w:val="2"/>
  </w:num>
  <w:num w:numId="15">
    <w:abstractNumId w:val="20"/>
  </w:num>
  <w:num w:numId="16">
    <w:abstractNumId w:val="30"/>
  </w:num>
  <w:num w:numId="17">
    <w:abstractNumId w:val="16"/>
  </w:num>
  <w:num w:numId="18">
    <w:abstractNumId w:val="12"/>
  </w:num>
  <w:num w:numId="19">
    <w:abstractNumId w:val="43"/>
  </w:num>
  <w:num w:numId="20">
    <w:abstractNumId w:val="28"/>
  </w:num>
  <w:num w:numId="21">
    <w:abstractNumId w:val="23"/>
  </w:num>
  <w:num w:numId="22">
    <w:abstractNumId w:val="44"/>
  </w:num>
  <w:num w:numId="23">
    <w:abstractNumId w:val="27"/>
  </w:num>
  <w:num w:numId="24">
    <w:abstractNumId w:val="4"/>
  </w:num>
  <w:num w:numId="25">
    <w:abstractNumId w:val="13"/>
  </w:num>
  <w:num w:numId="26">
    <w:abstractNumId w:val="34"/>
  </w:num>
  <w:num w:numId="27">
    <w:abstractNumId w:val="21"/>
  </w:num>
  <w:num w:numId="28">
    <w:abstractNumId w:val="42"/>
  </w:num>
  <w:num w:numId="29">
    <w:abstractNumId w:val="31"/>
  </w:num>
  <w:num w:numId="30">
    <w:abstractNumId w:val="38"/>
  </w:num>
  <w:num w:numId="31">
    <w:abstractNumId w:val="37"/>
  </w:num>
  <w:num w:numId="32">
    <w:abstractNumId w:val="1"/>
  </w:num>
  <w:num w:numId="33">
    <w:abstractNumId w:val="0"/>
  </w:num>
  <w:num w:numId="34">
    <w:abstractNumId w:val="14"/>
  </w:num>
  <w:num w:numId="35">
    <w:abstractNumId w:val="17"/>
  </w:num>
  <w:num w:numId="36">
    <w:abstractNumId w:val="19"/>
  </w:num>
  <w:num w:numId="37">
    <w:abstractNumId w:val="11"/>
  </w:num>
  <w:num w:numId="38">
    <w:abstractNumId w:val="9"/>
  </w:num>
  <w:num w:numId="39">
    <w:abstractNumId w:val="26"/>
  </w:num>
  <w:num w:numId="40">
    <w:abstractNumId w:val="40"/>
  </w:num>
  <w:num w:numId="41">
    <w:abstractNumId w:val="35"/>
  </w:num>
  <w:num w:numId="42">
    <w:abstractNumId w:val="32"/>
  </w:num>
  <w:num w:numId="43">
    <w:abstractNumId w:val="22"/>
  </w:num>
  <w:num w:numId="44">
    <w:abstractNumId w:val="24"/>
  </w:num>
  <w:num w:numId="45">
    <w:abstractNumId w:val="15"/>
  </w:num>
  <w:num w:numId="46">
    <w:abstractNumId w:val="46"/>
  </w:num>
  <w:num w:numId="47">
    <w:abstractNumId w:val="29"/>
  </w:num>
  <w:num w:numId="48">
    <w:abstractNumId w:val="5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2C"/>
    <w:rsid w:val="00063493"/>
    <w:rsid w:val="000F1176"/>
    <w:rsid w:val="00107B89"/>
    <w:rsid w:val="00155A2A"/>
    <w:rsid w:val="001734ED"/>
    <w:rsid w:val="001C12AF"/>
    <w:rsid w:val="001C3F9C"/>
    <w:rsid w:val="001D2975"/>
    <w:rsid w:val="002101BE"/>
    <w:rsid w:val="00215F08"/>
    <w:rsid w:val="00227D28"/>
    <w:rsid w:val="002512B8"/>
    <w:rsid w:val="00272042"/>
    <w:rsid w:val="00272101"/>
    <w:rsid w:val="0027474D"/>
    <w:rsid w:val="00296B38"/>
    <w:rsid w:val="002A39DC"/>
    <w:rsid w:val="002B07C0"/>
    <w:rsid w:val="002C750A"/>
    <w:rsid w:val="002D2D13"/>
    <w:rsid w:val="002E41EF"/>
    <w:rsid w:val="003020B8"/>
    <w:rsid w:val="00304BF1"/>
    <w:rsid w:val="00306B32"/>
    <w:rsid w:val="003329A8"/>
    <w:rsid w:val="00334126"/>
    <w:rsid w:val="0033548C"/>
    <w:rsid w:val="003376CD"/>
    <w:rsid w:val="003555FE"/>
    <w:rsid w:val="00361675"/>
    <w:rsid w:val="00437931"/>
    <w:rsid w:val="0048194B"/>
    <w:rsid w:val="00483404"/>
    <w:rsid w:val="004B3A0C"/>
    <w:rsid w:val="004B4664"/>
    <w:rsid w:val="00583F9C"/>
    <w:rsid w:val="00584E93"/>
    <w:rsid w:val="005A1315"/>
    <w:rsid w:val="005B46DD"/>
    <w:rsid w:val="005B5050"/>
    <w:rsid w:val="00603163"/>
    <w:rsid w:val="00611F07"/>
    <w:rsid w:val="0065249A"/>
    <w:rsid w:val="006E142C"/>
    <w:rsid w:val="007040D8"/>
    <w:rsid w:val="0071404F"/>
    <w:rsid w:val="0073195C"/>
    <w:rsid w:val="00740D8B"/>
    <w:rsid w:val="007677D5"/>
    <w:rsid w:val="00770641"/>
    <w:rsid w:val="007738B8"/>
    <w:rsid w:val="0078190C"/>
    <w:rsid w:val="00792DA9"/>
    <w:rsid w:val="007975B2"/>
    <w:rsid w:val="00797BD1"/>
    <w:rsid w:val="007A02DD"/>
    <w:rsid w:val="007D7C94"/>
    <w:rsid w:val="007E54CE"/>
    <w:rsid w:val="007F5C04"/>
    <w:rsid w:val="007F7C35"/>
    <w:rsid w:val="00882F5B"/>
    <w:rsid w:val="00897CB6"/>
    <w:rsid w:val="008B056A"/>
    <w:rsid w:val="008B191E"/>
    <w:rsid w:val="008E0A8B"/>
    <w:rsid w:val="00942A15"/>
    <w:rsid w:val="00960BCA"/>
    <w:rsid w:val="00961C00"/>
    <w:rsid w:val="009A3716"/>
    <w:rsid w:val="009E2D4B"/>
    <w:rsid w:val="00A16E28"/>
    <w:rsid w:val="00A378ED"/>
    <w:rsid w:val="00A50CE4"/>
    <w:rsid w:val="00A61902"/>
    <w:rsid w:val="00A8130A"/>
    <w:rsid w:val="00A81AFA"/>
    <w:rsid w:val="00AB50D2"/>
    <w:rsid w:val="00AB570C"/>
    <w:rsid w:val="00AC120B"/>
    <w:rsid w:val="00AC5C0B"/>
    <w:rsid w:val="00B15B56"/>
    <w:rsid w:val="00B6318D"/>
    <w:rsid w:val="00B959A9"/>
    <w:rsid w:val="00BA31A8"/>
    <w:rsid w:val="00BB197F"/>
    <w:rsid w:val="00C02A3A"/>
    <w:rsid w:val="00C0645B"/>
    <w:rsid w:val="00C1601B"/>
    <w:rsid w:val="00C348C5"/>
    <w:rsid w:val="00C6797A"/>
    <w:rsid w:val="00C84028"/>
    <w:rsid w:val="00C93054"/>
    <w:rsid w:val="00C931D7"/>
    <w:rsid w:val="00CC461A"/>
    <w:rsid w:val="00D16517"/>
    <w:rsid w:val="00D6273E"/>
    <w:rsid w:val="00D637D5"/>
    <w:rsid w:val="00D76C68"/>
    <w:rsid w:val="00DA5C1F"/>
    <w:rsid w:val="00DC1230"/>
    <w:rsid w:val="00DC38D7"/>
    <w:rsid w:val="00EB34CF"/>
    <w:rsid w:val="00EC31C8"/>
    <w:rsid w:val="00ED1768"/>
    <w:rsid w:val="00EE2D2A"/>
    <w:rsid w:val="00EE59E3"/>
    <w:rsid w:val="00EF1162"/>
    <w:rsid w:val="00F6666C"/>
    <w:rsid w:val="00F703DB"/>
    <w:rsid w:val="00F73278"/>
    <w:rsid w:val="00FD40F7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A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4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55A2A"/>
    <w:pPr>
      <w:keepNext/>
      <w:spacing w:before="200" w:after="0" w:line="240" w:lineRule="auto"/>
      <w:outlineLvl w:val="4"/>
    </w:pPr>
    <w:rPr>
      <w:rFonts w:ascii="Cambria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4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4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F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35"/>
  </w:style>
  <w:style w:type="paragraph" w:styleId="Footer">
    <w:name w:val="footer"/>
    <w:basedOn w:val="Normal"/>
    <w:link w:val="FooterChar"/>
    <w:uiPriority w:val="99"/>
    <w:unhideWhenUsed/>
    <w:rsid w:val="007F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35"/>
  </w:style>
  <w:style w:type="paragraph" w:styleId="BalloonText">
    <w:name w:val="Balloon Text"/>
    <w:basedOn w:val="Normal"/>
    <w:link w:val="BalloonTextChar"/>
    <w:uiPriority w:val="99"/>
    <w:semiHidden/>
    <w:unhideWhenUsed/>
    <w:rsid w:val="00DC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8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5A2A"/>
    <w:rPr>
      <w:rFonts w:ascii="Cambria" w:hAnsi="Cambria" w:cs="Times New Roman"/>
      <w:color w:val="243F60"/>
      <w:sz w:val="24"/>
      <w:szCs w:val="24"/>
    </w:rPr>
  </w:style>
  <w:style w:type="character" w:customStyle="1" w:styleId="apple-converted-space">
    <w:name w:val="apple-converted-space"/>
    <w:basedOn w:val="DefaultParagraphFont"/>
    <w:rsid w:val="00155A2A"/>
  </w:style>
  <w:style w:type="character" w:styleId="Hyperlink">
    <w:name w:val="Hyperlink"/>
    <w:basedOn w:val="DefaultParagraphFont"/>
    <w:uiPriority w:val="99"/>
    <w:unhideWhenUsed/>
    <w:rsid w:val="00155A2A"/>
    <w:rPr>
      <w:color w:val="0000FF"/>
      <w:u w:val="single"/>
    </w:rPr>
  </w:style>
  <w:style w:type="paragraph" w:customStyle="1" w:styleId="red1">
    <w:name w:val="red1"/>
    <w:basedOn w:val="Normal"/>
    <w:uiPriority w:val="99"/>
    <w:semiHidden/>
    <w:rsid w:val="00155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ed">
    <w:name w:val="red"/>
    <w:basedOn w:val="DefaultParagraphFont"/>
    <w:rsid w:val="00155A2A"/>
  </w:style>
  <w:style w:type="character" w:customStyle="1" w:styleId="Heading2Char">
    <w:name w:val="Heading 2 Char"/>
    <w:basedOn w:val="DefaultParagraphFont"/>
    <w:link w:val="Heading2"/>
    <w:uiPriority w:val="9"/>
    <w:semiHidden/>
    <w:rsid w:val="004B3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34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16E2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16E28"/>
    <w:rPr>
      <w:i/>
      <w:iCs/>
    </w:rPr>
  </w:style>
  <w:style w:type="character" w:customStyle="1" w:styleId="hiddentext">
    <w:name w:val="hiddentext"/>
    <w:basedOn w:val="DefaultParagraphFont"/>
    <w:rsid w:val="00A16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A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4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55A2A"/>
    <w:pPr>
      <w:keepNext/>
      <w:spacing w:before="200" w:after="0" w:line="240" w:lineRule="auto"/>
      <w:outlineLvl w:val="4"/>
    </w:pPr>
    <w:rPr>
      <w:rFonts w:ascii="Cambria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4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4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F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35"/>
  </w:style>
  <w:style w:type="paragraph" w:styleId="Footer">
    <w:name w:val="footer"/>
    <w:basedOn w:val="Normal"/>
    <w:link w:val="FooterChar"/>
    <w:uiPriority w:val="99"/>
    <w:unhideWhenUsed/>
    <w:rsid w:val="007F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35"/>
  </w:style>
  <w:style w:type="paragraph" w:styleId="BalloonText">
    <w:name w:val="Balloon Text"/>
    <w:basedOn w:val="Normal"/>
    <w:link w:val="BalloonTextChar"/>
    <w:uiPriority w:val="99"/>
    <w:semiHidden/>
    <w:unhideWhenUsed/>
    <w:rsid w:val="00DC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8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5A2A"/>
    <w:rPr>
      <w:rFonts w:ascii="Cambria" w:hAnsi="Cambria" w:cs="Times New Roman"/>
      <w:color w:val="243F60"/>
      <w:sz w:val="24"/>
      <w:szCs w:val="24"/>
    </w:rPr>
  </w:style>
  <w:style w:type="character" w:customStyle="1" w:styleId="apple-converted-space">
    <w:name w:val="apple-converted-space"/>
    <w:basedOn w:val="DefaultParagraphFont"/>
    <w:rsid w:val="00155A2A"/>
  </w:style>
  <w:style w:type="character" w:styleId="Hyperlink">
    <w:name w:val="Hyperlink"/>
    <w:basedOn w:val="DefaultParagraphFont"/>
    <w:uiPriority w:val="99"/>
    <w:unhideWhenUsed/>
    <w:rsid w:val="00155A2A"/>
    <w:rPr>
      <w:color w:val="0000FF"/>
      <w:u w:val="single"/>
    </w:rPr>
  </w:style>
  <w:style w:type="paragraph" w:customStyle="1" w:styleId="red1">
    <w:name w:val="red1"/>
    <w:basedOn w:val="Normal"/>
    <w:uiPriority w:val="99"/>
    <w:semiHidden/>
    <w:rsid w:val="00155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ed">
    <w:name w:val="red"/>
    <w:basedOn w:val="DefaultParagraphFont"/>
    <w:rsid w:val="00155A2A"/>
  </w:style>
  <w:style w:type="character" w:customStyle="1" w:styleId="Heading2Char">
    <w:name w:val="Heading 2 Char"/>
    <w:basedOn w:val="DefaultParagraphFont"/>
    <w:link w:val="Heading2"/>
    <w:uiPriority w:val="9"/>
    <w:semiHidden/>
    <w:rsid w:val="004B3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34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16E2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16E28"/>
    <w:rPr>
      <w:i/>
      <w:iCs/>
    </w:rPr>
  </w:style>
  <w:style w:type="character" w:customStyle="1" w:styleId="hiddentext">
    <w:name w:val="hiddentext"/>
    <w:basedOn w:val="DefaultParagraphFont"/>
    <w:rsid w:val="00A1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gusta.edu/services/ehs/biosaf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Health Sciences University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lmeyer</dc:creator>
  <cp:lastModifiedBy>Desevilla, Liesl M.</cp:lastModifiedBy>
  <cp:revision>6</cp:revision>
  <cp:lastPrinted>2014-01-15T15:58:00Z</cp:lastPrinted>
  <dcterms:created xsi:type="dcterms:W3CDTF">2017-01-09T16:05:00Z</dcterms:created>
  <dcterms:modified xsi:type="dcterms:W3CDTF">2017-01-10T15:47:00Z</dcterms:modified>
</cp:coreProperties>
</file>