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283"/>
      </w:tblGrid>
      <w:tr w:rsidR="00B36FE2" w:rsidRPr="00B36FE2" w14:paraId="570CD561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2A7B906F" w14:textId="128F0E15" w:rsidR="00C86D87" w:rsidRPr="00B36FE2" w:rsidRDefault="00C86D87" w:rsidP="00B36F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E647E"/>
            <w:hideMark/>
          </w:tcPr>
          <w:p w14:paraId="6160BBAD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DEXMEDETOMIDINE (</w:t>
            </w:r>
            <w:proofErr w:type="spellStart"/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Precedex</w:t>
            </w:r>
            <w:r w:rsidRPr="00B36FE2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R</w:t>
            </w:r>
            <w:proofErr w:type="spellEnd"/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6FE2" w:rsidRPr="00B36FE2" w14:paraId="3DF268DD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2262DBE8" w14:textId="71C905F8" w:rsidR="00B36FE2" w:rsidRPr="00B36FE2" w:rsidRDefault="00C86D87" w:rsidP="00B3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General Information</w:t>
            </w:r>
            <w:r w:rsidR="00B36FE2" w:rsidRPr="00B36FE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7A31B" w14:textId="29A6DB3F" w:rsidR="00C86D87" w:rsidRPr="00F12A0D" w:rsidRDefault="00C86D87" w:rsidP="00C86D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A0D">
              <w:rPr>
                <w:rFonts w:ascii="Times New Roman" w:eastAsia="Times New Roman" w:hAnsi="Times New Roman" w:cs="Times New Roman"/>
                <w:b/>
                <w:bCs/>
              </w:rPr>
              <w:t>Pharmacology</w:t>
            </w:r>
            <w:r w:rsidR="00F12A0D" w:rsidRPr="00F12A0D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A86CDCE" w14:textId="4AF7FD7B" w:rsidR="00B36FE2" w:rsidRPr="008E2FB4" w:rsidRDefault="00B36FE2" w:rsidP="00C86D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8E2FB4">
              <w:rPr>
                <w:rFonts w:ascii="Times New Roman" w:eastAsia="Times New Roman" w:hAnsi="Times New Roman" w:cs="Times New Roman"/>
              </w:rPr>
              <w:t>Sedative, anxiolytic, analgesia</w:t>
            </w:r>
            <w:r w:rsidR="00C86D87">
              <w:rPr>
                <w:rFonts w:ascii="Times New Roman" w:eastAsia="Times New Roman" w:hAnsi="Times New Roman" w:cs="Times New Roman"/>
              </w:rPr>
              <w:t>,</w:t>
            </w:r>
            <w:r w:rsidRPr="008E2FB4">
              <w:rPr>
                <w:rFonts w:ascii="Times New Roman" w:eastAsia="Times New Roman" w:hAnsi="Times New Roman" w:cs="Times New Roman"/>
              </w:rPr>
              <w:t xml:space="preserve"> and sympatholytic agent</w:t>
            </w:r>
          </w:p>
          <w:p w14:paraId="48F6075E" w14:textId="62C73CD0" w:rsidR="008E2FB4" w:rsidRDefault="00B36FE2" w:rsidP="00C86D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8E2FB4">
              <w:rPr>
                <w:rFonts w:ascii="Times New Roman" w:eastAsia="Times New Roman" w:hAnsi="Times New Roman" w:cs="Times New Roman"/>
              </w:rPr>
              <w:t>Potent and relatively selective alpha-2-adrenergic receptor agonist with sedative properties</w:t>
            </w:r>
            <w:r w:rsidR="001E4FC3" w:rsidRPr="008E2FB4">
              <w:rPr>
                <w:rFonts w:ascii="Times New Roman" w:eastAsia="Times New Roman" w:hAnsi="Times New Roman" w:cs="Times New Roman"/>
              </w:rPr>
              <w:t>.  Pharmacologically similar to clonidine</w:t>
            </w:r>
            <w:r w:rsidR="008E2FB4" w:rsidRPr="008E2FB4">
              <w:rPr>
                <w:rFonts w:ascii="Times New Roman" w:eastAsia="Times New Roman" w:hAnsi="Times New Roman" w:cs="Times New Roman"/>
              </w:rPr>
              <w:t>, but more potent</w:t>
            </w:r>
          </w:p>
          <w:p w14:paraId="03237120" w14:textId="0135D190" w:rsidR="008E2FB4" w:rsidRPr="00F12A0D" w:rsidRDefault="008E2FB4" w:rsidP="00C86D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A0D">
              <w:rPr>
                <w:rFonts w:ascii="Times New Roman" w:hAnsi="Times New Roman" w:cs="Times New Roman"/>
                <w:b/>
                <w:bCs/>
              </w:rPr>
              <w:t>Sedation</w:t>
            </w:r>
            <w:r w:rsidR="00F12A0D" w:rsidRPr="00F12A0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1B78330" w14:textId="167A7C8D" w:rsidR="008E2FB4" w:rsidRPr="008E2FB4" w:rsidRDefault="00C86D87" w:rsidP="00C86D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E2FB4" w:rsidRPr="008E2FB4">
              <w:rPr>
                <w:rFonts w:ascii="Times New Roman" w:hAnsi="Times New Roman" w:cs="Times New Roman"/>
              </w:rPr>
              <w:t>educes sympathetic activity and agitation, causing a state resembling non-REM sleep without impairing cognitive function</w:t>
            </w:r>
          </w:p>
          <w:p w14:paraId="78308282" w14:textId="6BE0E326" w:rsidR="008E2FB4" w:rsidRPr="008E2FB4" w:rsidRDefault="00C86D87" w:rsidP="00C86D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E2FB4" w:rsidRPr="008E2FB4">
              <w:rPr>
                <w:rFonts w:ascii="Times New Roman" w:hAnsi="Times New Roman" w:cs="Times New Roman"/>
              </w:rPr>
              <w:t xml:space="preserve">edation is induced by inhibition of noradrenergic activity via activation of alpha-2 receptors at the locus </w:t>
            </w:r>
            <w:proofErr w:type="spellStart"/>
            <w:r w:rsidR="008E2FB4" w:rsidRPr="008E2FB4">
              <w:rPr>
                <w:rFonts w:ascii="Times New Roman" w:hAnsi="Times New Roman" w:cs="Times New Roman"/>
              </w:rPr>
              <w:t>ceruleus</w:t>
            </w:r>
            <w:proofErr w:type="spellEnd"/>
          </w:p>
          <w:p w14:paraId="780B9D4B" w14:textId="4E1412FE" w:rsidR="008E2FB4" w:rsidRPr="008E2FB4" w:rsidRDefault="00C86D87" w:rsidP="00C86D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E2FB4" w:rsidRPr="008E2FB4">
              <w:rPr>
                <w:rFonts w:ascii="Times New Roman" w:hAnsi="Times New Roman" w:cs="Times New Roman"/>
              </w:rPr>
              <w:t>roduces a patient who is sedated but can be easily roused with minimal stimulation</w:t>
            </w:r>
          </w:p>
          <w:p w14:paraId="709E4A58" w14:textId="61022088" w:rsidR="008E2FB4" w:rsidRPr="008E2FB4" w:rsidRDefault="00C86D87" w:rsidP="00C86D8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E2FB4" w:rsidRPr="008E2FB4">
              <w:rPr>
                <w:rFonts w:ascii="Times New Roman" w:hAnsi="Times New Roman" w:cs="Times New Roman"/>
              </w:rPr>
              <w:t>inimal respiratory depression</w:t>
            </w:r>
          </w:p>
          <w:p w14:paraId="0396F4CE" w14:textId="08B53458" w:rsidR="008E2FB4" w:rsidRPr="00F12A0D" w:rsidRDefault="008E2FB4" w:rsidP="00C86D87">
            <w:pPr>
              <w:rPr>
                <w:rFonts w:ascii="Times New Roman" w:hAnsi="Times New Roman" w:cs="Times New Roman"/>
                <w:b/>
                <w:bCs/>
              </w:rPr>
            </w:pPr>
            <w:r w:rsidRPr="00F12A0D">
              <w:rPr>
                <w:rFonts w:ascii="Times New Roman" w:hAnsi="Times New Roman" w:cs="Times New Roman"/>
                <w:b/>
                <w:bCs/>
              </w:rPr>
              <w:t>Analgesia</w:t>
            </w:r>
            <w:r w:rsidR="00F12A0D" w:rsidRPr="00F12A0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13A266D" w14:textId="4B3BD743" w:rsidR="008E2FB4" w:rsidRPr="008E2FB4" w:rsidRDefault="00C86D87" w:rsidP="00C86D8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at the p</w:t>
            </w:r>
            <w:r w:rsidR="008E2FB4" w:rsidRPr="008E2FB4">
              <w:rPr>
                <w:rFonts w:ascii="Times New Roman" w:hAnsi="Times New Roman" w:cs="Times New Roman"/>
              </w:rPr>
              <w:t>osterior horns of the spinal cord where the modulation of pain impulses is mediated by the noradrenergic bulbar/spinal pathway</w:t>
            </w:r>
          </w:p>
          <w:p w14:paraId="3EE10827" w14:textId="0446331B" w:rsidR="008E2FB4" w:rsidRPr="008E2FB4" w:rsidRDefault="00C86D87" w:rsidP="00C86D8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E2FB4" w:rsidRPr="008E2FB4">
              <w:rPr>
                <w:rFonts w:ascii="Times New Roman" w:hAnsi="Times New Roman" w:cs="Times New Roman"/>
              </w:rPr>
              <w:t>eripheral nerve mechanisms also implicated</w:t>
            </w:r>
          </w:p>
          <w:p w14:paraId="5A0290DD" w14:textId="44D62A7A" w:rsidR="008E2FB4" w:rsidRPr="008E2FB4" w:rsidRDefault="00C86D87" w:rsidP="00C86D8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E2FB4" w:rsidRPr="008E2FB4">
              <w:rPr>
                <w:rFonts w:ascii="Times New Roman" w:hAnsi="Times New Roman" w:cs="Times New Roman"/>
              </w:rPr>
              <w:t>educe</w:t>
            </w:r>
            <w:r>
              <w:rPr>
                <w:rFonts w:ascii="Times New Roman" w:hAnsi="Times New Roman" w:cs="Times New Roman"/>
              </w:rPr>
              <w:t>s</w:t>
            </w:r>
            <w:r w:rsidR="008E2FB4" w:rsidRPr="008E2FB4">
              <w:rPr>
                <w:rFonts w:ascii="Times New Roman" w:hAnsi="Times New Roman" w:cs="Times New Roman"/>
              </w:rPr>
              <w:t xml:space="preserve"> need for opioid analgesia</w:t>
            </w:r>
          </w:p>
          <w:p w14:paraId="2F7C602D" w14:textId="2AA5BBD5" w:rsidR="008E2FB4" w:rsidRPr="00F12A0D" w:rsidRDefault="008E2FB4" w:rsidP="00C86D87">
            <w:pPr>
              <w:rPr>
                <w:rFonts w:ascii="Times New Roman" w:hAnsi="Times New Roman" w:cs="Times New Roman"/>
                <w:b/>
                <w:bCs/>
              </w:rPr>
            </w:pPr>
            <w:r w:rsidRPr="00F12A0D">
              <w:rPr>
                <w:rFonts w:ascii="Times New Roman" w:hAnsi="Times New Roman" w:cs="Times New Roman"/>
                <w:b/>
                <w:bCs/>
              </w:rPr>
              <w:t>Neuroprotective effects</w:t>
            </w:r>
            <w:r w:rsidR="00F12A0D" w:rsidRPr="00F12A0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1827BC8" w14:textId="119A8176" w:rsidR="008E2FB4" w:rsidRPr="008E2FB4" w:rsidRDefault="00C86D87" w:rsidP="00C86D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E2FB4" w:rsidRPr="008E2FB4">
              <w:rPr>
                <w:rFonts w:ascii="Times New Roman" w:hAnsi="Times New Roman" w:cs="Times New Roman"/>
              </w:rPr>
              <w:t>ecreases circulating and cerebral catecholamines and CNS glutamate</w:t>
            </w:r>
          </w:p>
          <w:p w14:paraId="15D394E8" w14:textId="3323B1A2" w:rsidR="008E2FB4" w:rsidRPr="00F12A0D" w:rsidRDefault="008E2FB4" w:rsidP="00C86D87">
            <w:pPr>
              <w:rPr>
                <w:rFonts w:ascii="Times New Roman" w:hAnsi="Times New Roman" w:cs="Times New Roman"/>
                <w:b/>
                <w:bCs/>
              </w:rPr>
            </w:pPr>
            <w:r w:rsidRPr="00F12A0D">
              <w:rPr>
                <w:rFonts w:ascii="Times New Roman" w:hAnsi="Times New Roman" w:cs="Times New Roman"/>
                <w:b/>
                <w:bCs/>
              </w:rPr>
              <w:t>Other effects</w:t>
            </w:r>
            <w:r w:rsidR="00F12A0D" w:rsidRPr="00F12A0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104354F" w14:textId="1A3EC484" w:rsidR="008E2FB4" w:rsidRPr="008E2FB4" w:rsidRDefault="00C86D87" w:rsidP="00C86D8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E2FB4" w:rsidRPr="008E2FB4">
              <w:rPr>
                <w:rFonts w:ascii="Times New Roman" w:hAnsi="Times New Roman" w:cs="Times New Roman"/>
              </w:rPr>
              <w:t>ecreases CBF, CNS VO2, and mild decrease in ICP</w:t>
            </w:r>
          </w:p>
          <w:p w14:paraId="497E1E45" w14:textId="757B6864" w:rsidR="008E2FB4" w:rsidRPr="008E2FB4" w:rsidRDefault="00C86D87" w:rsidP="00C86D8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E2FB4" w:rsidRPr="008E2FB4">
              <w:rPr>
                <w:rFonts w:ascii="Times New Roman" w:hAnsi="Times New Roman" w:cs="Times New Roman"/>
              </w:rPr>
              <w:t>ecreases shivering</w:t>
            </w:r>
          </w:p>
          <w:p w14:paraId="065C1F9A" w14:textId="34C1579B" w:rsidR="008E2FB4" w:rsidRPr="008E2FB4" w:rsidRDefault="00225302" w:rsidP="00C86D8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E2FB4" w:rsidRPr="008E2FB4">
              <w:rPr>
                <w:rFonts w:ascii="Times New Roman" w:hAnsi="Times New Roman" w:cs="Times New Roman"/>
              </w:rPr>
              <w:t>uppression of stress response to surgery and other noxious stimuli</w:t>
            </w:r>
          </w:p>
          <w:p w14:paraId="50925078" w14:textId="7B626E79" w:rsidR="00B36FE2" w:rsidRPr="00F12A0D" w:rsidRDefault="008E2FB4" w:rsidP="00C86D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A0D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="00F12A0D" w:rsidRPr="00F12A0D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1825F65F" w14:textId="77777777" w:rsidR="00B36FE2" w:rsidRPr="008E2FB4" w:rsidRDefault="00B36FE2" w:rsidP="00C86D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8E2FB4">
              <w:rPr>
                <w:rFonts w:ascii="Times New Roman" w:eastAsia="Times New Roman" w:hAnsi="Times New Roman" w:cs="Times New Roman"/>
              </w:rPr>
              <w:t xml:space="preserve">May be continuously infused in mechanically ventilated patients prior to </w:t>
            </w:r>
            <w:proofErr w:type="spellStart"/>
            <w:r w:rsidRPr="008E2FB4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8E2FB4">
              <w:rPr>
                <w:rFonts w:ascii="Times New Roman" w:eastAsia="Times New Roman" w:hAnsi="Times New Roman" w:cs="Times New Roman"/>
              </w:rPr>
              <w:t xml:space="preserve">, during </w:t>
            </w:r>
            <w:proofErr w:type="spellStart"/>
            <w:r w:rsidRPr="008E2FB4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8E2FB4">
              <w:rPr>
                <w:rFonts w:ascii="Times New Roman" w:eastAsia="Times New Roman" w:hAnsi="Times New Roman" w:cs="Times New Roman"/>
              </w:rPr>
              <w:t xml:space="preserve"> and post-</w:t>
            </w:r>
            <w:proofErr w:type="spellStart"/>
            <w:r w:rsidRPr="008E2FB4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</w:p>
          <w:p w14:paraId="036947C6" w14:textId="1016CF12" w:rsidR="00B36FE2" w:rsidRPr="008E2FB4" w:rsidRDefault="00B36FE2" w:rsidP="00C86D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8E2FB4">
              <w:rPr>
                <w:rFonts w:ascii="Times New Roman" w:eastAsia="Times New Roman" w:hAnsi="Times New Roman" w:cs="Times New Roman"/>
              </w:rPr>
              <w:t xml:space="preserve">May be </w:t>
            </w:r>
            <w:r w:rsidR="008E2FB4" w:rsidRPr="008E2FB4">
              <w:rPr>
                <w:rFonts w:ascii="Times New Roman" w:eastAsia="Times New Roman" w:hAnsi="Times New Roman" w:cs="Times New Roman"/>
              </w:rPr>
              <w:t>continuously infused</w:t>
            </w:r>
            <w:r w:rsidRPr="008E2FB4">
              <w:rPr>
                <w:rFonts w:ascii="Times New Roman" w:eastAsia="Times New Roman" w:hAnsi="Times New Roman" w:cs="Times New Roman"/>
              </w:rPr>
              <w:t xml:space="preserve"> for sedation in non-intubated patients prior to and/or during certain procedures</w:t>
            </w:r>
            <w:r w:rsidR="001E4FC3" w:rsidRPr="008E2FB4">
              <w:rPr>
                <w:rFonts w:ascii="Times New Roman" w:eastAsia="Times New Roman" w:hAnsi="Times New Roman" w:cs="Times New Roman"/>
              </w:rPr>
              <w:t xml:space="preserve"> such as BiPAP</w:t>
            </w:r>
            <w:r w:rsidRPr="008E2F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F31F50" w14:textId="7CCF65AA" w:rsidR="00B36FE2" w:rsidRPr="008E2FB4" w:rsidRDefault="00C86D87" w:rsidP="00C86D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</w:t>
            </w:r>
            <w:r w:rsidR="00B36FE2" w:rsidRPr="008E2FB4">
              <w:rPr>
                <w:rFonts w:ascii="Times New Roman" w:eastAsia="Times New Roman" w:hAnsi="Times New Roman" w:cs="Times New Roman"/>
              </w:rPr>
              <w:t xml:space="preserve"> alternative roles in analgesia, delirium</w:t>
            </w:r>
            <w:r w:rsidR="001E4FC3" w:rsidRPr="008E2FB4">
              <w:rPr>
                <w:rFonts w:ascii="Times New Roman" w:eastAsia="Times New Roman" w:hAnsi="Times New Roman" w:cs="Times New Roman"/>
              </w:rPr>
              <w:t>, sleep</w:t>
            </w:r>
            <w:r>
              <w:rPr>
                <w:rFonts w:ascii="Times New Roman" w:eastAsia="Times New Roman" w:hAnsi="Times New Roman" w:cs="Times New Roman"/>
              </w:rPr>
              <w:t xml:space="preserve"> management</w:t>
            </w:r>
            <w:r w:rsidR="001E4FC3" w:rsidRPr="008E2FB4">
              <w:rPr>
                <w:rFonts w:ascii="Times New Roman" w:eastAsia="Times New Roman" w:hAnsi="Times New Roman" w:cs="Times New Roman"/>
              </w:rPr>
              <w:t>,</w:t>
            </w:r>
            <w:r w:rsidR="00B36FE2" w:rsidRPr="008E2FB4">
              <w:rPr>
                <w:rFonts w:ascii="Times New Roman" w:eastAsia="Times New Roman" w:hAnsi="Times New Roman" w:cs="Times New Roman"/>
              </w:rPr>
              <w:t xml:space="preserve"> and ethanol withdrawal</w:t>
            </w:r>
          </w:p>
          <w:p w14:paraId="22053C98" w14:textId="77777777" w:rsidR="00B36FE2" w:rsidRPr="008E2FB4" w:rsidRDefault="00B36FE2" w:rsidP="00C86D87">
            <w:pPr>
              <w:rPr>
                <w:rFonts w:ascii="Times New Roman" w:eastAsia="Times New Roman" w:hAnsi="Times New Roman" w:cs="Times New Roman"/>
              </w:rPr>
            </w:pPr>
            <w:r w:rsidRPr="008E2FB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36FE2" w:rsidRPr="00B36FE2" w14:paraId="2419B70E" w14:textId="77777777" w:rsidTr="00504046">
        <w:trPr>
          <w:trHeight w:val="2835"/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17ADB15E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Dose: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A16C5" w14:textId="77777777" w:rsidR="00B36FE2" w:rsidRPr="00B36FE2" w:rsidRDefault="00B36FE2" w:rsidP="00F12A0D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Loading dose:</w:t>
            </w:r>
            <w:r w:rsidRPr="00B36FE2">
              <w:rPr>
                <w:rFonts w:ascii="Times New Roman" w:eastAsia="Times New Roman" w:hAnsi="Times New Roman" w:cs="Times New Roman"/>
              </w:rPr>
              <w:t> </w:t>
            </w:r>
          </w:p>
          <w:p w14:paraId="4FC8898A" w14:textId="7E36610B" w:rsidR="00B36FE2" w:rsidRPr="00F12A0D" w:rsidRDefault="00B36FE2" w:rsidP="00F12A0D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F12A0D">
              <w:rPr>
                <w:rFonts w:ascii="Times New Roman" w:eastAsia="Times New Roman" w:hAnsi="Times New Roman" w:cs="Times New Roman"/>
              </w:rPr>
              <w:t>Recommend starting infusion at 0.</w:t>
            </w:r>
            <w:r w:rsidR="001E4FC3" w:rsidRPr="00F12A0D">
              <w:rPr>
                <w:rFonts w:ascii="Times New Roman" w:eastAsia="Times New Roman" w:hAnsi="Times New Roman" w:cs="Times New Roman"/>
              </w:rPr>
              <w:t>2</w:t>
            </w:r>
            <w:r w:rsidRPr="00F12A0D">
              <w:rPr>
                <w:rFonts w:ascii="Times New Roman" w:eastAsia="Times New Roman" w:hAnsi="Times New Roman" w:cs="Times New Roman"/>
              </w:rPr>
              <w:t xml:space="preserve"> mcg/kg/hour </w:t>
            </w:r>
            <w:r w:rsidRPr="00F12A0D">
              <w:rPr>
                <w:rFonts w:ascii="Times New Roman" w:eastAsia="Times New Roman" w:hAnsi="Times New Roman" w:cs="Times New Roman"/>
                <w:b/>
                <w:bCs/>
              </w:rPr>
              <w:t>WITHOUT loading dose</w:t>
            </w:r>
            <w:r w:rsidRPr="00F12A0D">
              <w:rPr>
                <w:rFonts w:ascii="Times New Roman" w:eastAsia="Times New Roman" w:hAnsi="Times New Roman" w:cs="Times New Roman"/>
              </w:rPr>
              <w:t xml:space="preserve"> in most patients</w:t>
            </w:r>
            <w:r w:rsidR="00AF2CE8">
              <w:rPr>
                <w:rFonts w:ascii="Times New Roman" w:eastAsia="Times New Roman" w:hAnsi="Times New Roman" w:cs="Times New Roman"/>
              </w:rPr>
              <w:t>,</w:t>
            </w:r>
            <w:r w:rsidRPr="00F12A0D">
              <w:rPr>
                <w:rFonts w:ascii="Times New Roman" w:eastAsia="Times New Roman" w:hAnsi="Times New Roman" w:cs="Times New Roman"/>
              </w:rPr>
              <w:t xml:space="preserve"> as this has decreased the incidence of bradycardia.</w:t>
            </w:r>
            <w:r w:rsidR="001E4FC3" w:rsidRPr="00F12A0D">
              <w:rPr>
                <w:rFonts w:ascii="Times New Roman" w:eastAsia="Times New Roman" w:hAnsi="Times New Roman" w:cs="Times New Roman"/>
              </w:rPr>
              <w:t xml:space="preserve">  A higher starting dose of </w:t>
            </w:r>
            <w:r w:rsidR="001E4FC3" w:rsidRPr="00F12A0D">
              <w:rPr>
                <w:rFonts w:ascii="Times New Roman" w:eastAsia="Times New Roman" w:hAnsi="Times New Roman" w:cs="Times New Roman"/>
              </w:rPr>
              <w:t>0.</w:t>
            </w:r>
            <w:r w:rsidR="001E4FC3" w:rsidRPr="00F12A0D">
              <w:rPr>
                <w:rFonts w:ascii="Times New Roman" w:eastAsia="Times New Roman" w:hAnsi="Times New Roman" w:cs="Times New Roman"/>
              </w:rPr>
              <w:t>4</w:t>
            </w:r>
            <w:r w:rsidR="001E4FC3" w:rsidRPr="00F12A0D">
              <w:rPr>
                <w:rFonts w:ascii="Times New Roman" w:eastAsia="Times New Roman" w:hAnsi="Times New Roman" w:cs="Times New Roman"/>
              </w:rPr>
              <w:t xml:space="preserve"> mcg/kg/hour </w:t>
            </w:r>
            <w:r w:rsidR="001E4FC3" w:rsidRPr="00F12A0D">
              <w:rPr>
                <w:rFonts w:ascii="Times New Roman" w:eastAsia="Times New Roman" w:hAnsi="Times New Roman" w:cs="Times New Roman"/>
              </w:rPr>
              <w:t>may be used in intubated patients.  Loading doses should only be used with AU guidance.</w:t>
            </w:r>
          </w:p>
          <w:p w14:paraId="5B514447" w14:textId="4DFEDFE5" w:rsidR="00B36FE2" w:rsidRPr="00B36FE2" w:rsidRDefault="00B36FE2" w:rsidP="00F12A0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Loading dose </w:t>
            </w:r>
            <w:r w:rsidR="001E4FC3">
              <w:rPr>
                <w:rFonts w:ascii="Times New Roman" w:eastAsia="Times New Roman" w:hAnsi="Times New Roman" w:cs="Times New Roman"/>
              </w:rPr>
              <w:t xml:space="preserve">(if used) 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of 1 mcg/kg over 20 – 30 minutes </w:t>
            </w:r>
          </w:p>
          <w:p w14:paraId="552A88B2" w14:textId="77777777" w:rsidR="00AF2CE8" w:rsidRDefault="00B36FE2" w:rsidP="00AF2C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B36FE2"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 w:rsidRPr="00B36FE2">
              <w:rPr>
                <w:rFonts w:ascii="Times New Roman" w:eastAsia="Times New Roman" w:hAnsi="Times New Roman" w:cs="Times New Roman"/>
              </w:rPr>
              <w:t xml:space="preserve"> must be diluted in 0.9% sodium chloride solution to achieve required concentration (4 mcg/mL) prior to administration. </w:t>
            </w:r>
          </w:p>
          <w:p w14:paraId="615CD60F" w14:textId="63FBFD1F" w:rsidR="00B36FE2" w:rsidRPr="00AF2CE8" w:rsidRDefault="00B36FE2" w:rsidP="00AF2C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F2CE8">
              <w:rPr>
                <w:rFonts w:ascii="Times New Roman" w:eastAsia="Times New Roman" w:hAnsi="Times New Roman" w:cs="Times New Roman"/>
              </w:rPr>
              <w:t xml:space="preserve">A loading dose </w:t>
            </w:r>
            <w:r w:rsidR="001E4FC3" w:rsidRPr="00AF2CE8">
              <w:rPr>
                <w:rFonts w:ascii="Times New Roman" w:eastAsia="Times New Roman" w:hAnsi="Times New Roman" w:cs="Times New Roman"/>
              </w:rPr>
              <w:t>should</w:t>
            </w:r>
            <w:r w:rsidRPr="00AF2CE8">
              <w:rPr>
                <w:rFonts w:ascii="Times New Roman" w:eastAsia="Times New Roman" w:hAnsi="Times New Roman" w:cs="Times New Roman"/>
              </w:rPr>
              <w:t xml:space="preserve"> not be </w:t>
            </w:r>
            <w:r w:rsidR="001E4FC3" w:rsidRPr="00AF2CE8">
              <w:rPr>
                <w:rFonts w:ascii="Times New Roman" w:eastAsia="Times New Roman" w:hAnsi="Times New Roman" w:cs="Times New Roman"/>
              </w:rPr>
              <w:t>used</w:t>
            </w:r>
            <w:r w:rsidRPr="00AF2CE8">
              <w:rPr>
                <w:rFonts w:ascii="Times New Roman" w:eastAsia="Times New Roman" w:hAnsi="Times New Roman" w:cs="Times New Roman"/>
              </w:rPr>
              <w:t xml:space="preserve"> if transitioning a patient from other sedatives</w:t>
            </w:r>
          </w:p>
          <w:p w14:paraId="418CECF1" w14:textId="77777777" w:rsidR="00B36FE2" w:rsidRPr="00B36FE2" w:rsidRDefault="00B36FE2" w:rsidP="00F12A0D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Maintenance infusion:</w:t>
            </w:r>
            <w:r w:rsidRPr="00B36FE2">
              <w:rPr>
                <w:rFonts w:ascii="Times New Roman" w:eastAsia="Times New Roman" w:hAnsi="Times New Roman" w:cs="Times New Roman"/>
              </w:rPr>
              <w:t> </w:t>
            </w:r>
          </w:p>
          <w:p w14:paraId="566ABE2E" w14:textId="77777777" w:rsidR="00B36FE2" w:rsidRPr="00B36FE2" w:rsidRDefault="00B36FE2" w:rsidP="00F12A0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Start at 0.2 - 0.4 mcg/kg/hour and titrate to 0.1 - 0.2 mcg/kg/hour every 30 minutes to a maximum rate of 1.1 mcg/kg/hour</w:t>
            </w:r>
          </w:p>
          <w:p w14:paraId="580EC260" w14:textId="57D6C7BD" w:rsidR="00B36FE2" w:rsidRDefault="00B36FE2" w:rsidP="00F12A0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Adjust rate to achieve the targeted level of sedation</w:t>
            </w:r>
          </w:p>
          <w:p w14:paraId="65B98AD4" w14:textId="3CBC145D" w:rsidR="001E4FC3" w:rsidRDefault="001E4FC3" w:rsidP="00F12A0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Target sedation level for non-intubated patients is generally RASS of 0 to -1</w:t>
            </w:r>
          </w:p>
          <w:p w14:paraId="5731C4A2" w14:textId="6BD1CAB4" w:rsidR="001E4FC3" w:rsidRPr="008E2FB4" w:rsidRDefault="001E4FC3" w:rsidP="00F12A0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Target sedation level for intubated patients is generally RASS of 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to -</w:t>
            </w:r>
            <w:r>
              <w:rPr>
                <w:rFonts w:ascii="Times New Roman" w:eastAsia="Times New Roman" w:hAnsi="Times New Roman" w:cs="Times New Roman"/>
              </w:rPr>
              <w:t>2, but may be deeper depending on specific circumstances.</w:t>
            </w:r>
          </w:p>
          <w:p w14:paraId="4943CAA5" w14:textId="77777777" w:rsidR="00B36FE2" w:rsidRPr="00B36FE2" w:rsidRDefault="00B36FE2" w:rsidP="00F12A0D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Maximum Duration:</w:t>
            </w:r>
          </w:p>
          <w:p w14:paraId="1E430286" w14:textId="77777777" w:rsidR="001E4FC3" w:rsidRDefault="001E4FC3" w:rsidP="00F12A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 labelled for u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</w:rPr>
              <w:t>up to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 24 h</w:t>
            </w:r>
            <w:r>
              <w:rPr>
                <w:rFonts w:ascii="Times New Roman" w:eastAsia="Times New Roman" w:hAnsi="Times New Roman" w:cs="Times New Roman"/>
              </w:rPr>
              <w:t>ours, but is routinely used for much longer durations.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should be reviewed daily by </w:t>
            </w:r>
            <w:r>
              <w:rPr>
                <w:rFonts w:ascii="Times New Roman" w:eastAsia="Times New Roman" w:hAnsi="Times New Roman" w:cs="Times New Roman"/>
              </w:rPr>
              <w:t xml:space="preserve">the AU telemedicine 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physician. </w:t>
            </w:r>
          </w:p>
          <w:p w14:paraId="54972479" w14:textId="080D5FCA" w:rsidR="00B36FE2" w:rsidRPr="001E4FC3" w:rsidRDefault="00B36FE2" w:rsidP="00F12A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 </w:t>
            </w:r>
            <w:r w:rsidR="001E4FC3">
              <w:rPr>
                <w:rFonts w:ascii="Times New Roman" w:eastAsia="Times New Roman" w:hAnsi="Times New Roman" w:cs="Times New Roman"/>
              </w:rPr>
              <w:t>can</w:t>
            </w:r>
            <w:r w:rsidRPr="001E4FC3">
              <w:rPr>
                <w:rFonts w:ascii="Times New Roman" w:eastAsia="Times New Roman" w:hAnsi="Times New Roman" w:cs="Times New Roman"/>
              </w:rPr>
              <w:t xml:space="preserve"> be continuously infused in mechanically ventilated patients prior to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, during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>, and post-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. It is not necessary to discontinue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 prior to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. After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, the dose of </w:t>
            </w:r>
            <w:proofErr w:type="spellStart"/>
            <w:r w:rsidRPr="001E4FC3"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 w:rsidRPr="001E4FC3">
              <w:rPr>
                <w:rFonts w:ascii="Times New Roman" w:eastAsia="Times New Roman" w:hAnsi="Times New Roman" w:cs="Times New Roman"/>
              </w:rPr>
              <w:t xml:space="preserve"> should be reduced by half. The mean time of continued infusion is approximately 6.6 hour</w:t>
            </w:r>
            <w:r w:rsidR="001E4FC3">
              <w:rPr>
                <w:rFonts w:ascii="Times New Roman" w:eastAsia="Times New Roman" w:hAnsi="Times New Roman" w:cs="Times New Roman"/>
              </w:rPr>
              <w:t>s, but may be longer depending on clinical circumstances</w:t>
            </w:r>
            <w:r w:rsidRPr="001E4FC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55F1B1C" w14:textId="1E0C4E32" w:rsidR="00B36FE2" w:rsidRPr="00B36FE2" w:rsidRDefault="00B36FE2" w:rsidP="00F12A0D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How to transition to dexmedetomidine</w:t>
            </w:r>
            <w:r w:rsidR="00B06F50">
              <w:rPr>
                <w:rFonts w:ascii="Times New Roman" w:eastAsia="Times New Roman" w:hAnsi="Times New Roman" w:cs="Times New Roman"/>
                <w:b/>
                <w:bCs/>
              </w:rPr>
              <w:t xml:space="preserve"> from other medications</w:t>
            </w: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14:paraId="6C9FE340" w14:textId="77777777" w:rsidR="00B36FE2" w:rsidRPr="00B36FE2" w:rsidRDefault="00B36FE2" w:rsidP="00F12A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One hour after initiation of dexmedetomidine infusion, reduce narcotic dose by 50%</w:t>
            </w:r>
          </w:p>
          <w:p w14:paraId="4CDE0589" w14:textId="77777777" w:rsidR="00B36FE2" w:rsidRPr="00B36FE2" w:rsidRDefault="00B36FE2" w:rsidP="00F12A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Discontinue all other antipsychotics</w:t>
            </w:r>
          </w:p>
          <w:p w14:paraId="7C873933" w14:textId="77777777" w:rsidR="00B36FE2" w:rsidRPr="00B36FE2" w:rsidRDefault="00B36FE2" w:rsidP="00F12A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Wean propofol and/or </w:t>
            </w:r>
            <w:proofErr w:type="spellStart"/>
            <w:r w:rsidRPr="00B36FE2">
              <w:rPr>
                <w:rFonts w:ascii="Times New Roman" w:eastAsia="Times New Roman" w:hAnsi="Times New Roman" w:cs="Times New Roman"/>
              </w:rPr>
              <w:t>benzodiapines</w:t>
            </w:r>
            <w:proofErr w:type="spellEnd"/>
            <w:r w:rsidRPr="00B36FE2">
              <w:rPr>
                <w:rFonts w:ascii="Times New Roman" w:eastAsia="Times New Roman" w:hAnsi="Times New Roman" w:cs="Times New Roman"/>
              </w:rPr>
              <w:t xml:space="preserve"> slowly as dose of dexmedetomidine is titrated upward</w:t>
            </w:r>
          </w:p>
          <w:p w14:paraId="6AAA50F6" w14:textId="4F2EC18F" w:rsidR="00B36FE2" w:rsidRPr="00B36FE2" w:rsidRDefault="00B36FE2" w:rsidP="00F12A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06F50">
              <w:rPr>
                <w:rFonts w:ascii="Times New Roman" w:eastAsia="Times New Roman" w:hAnsi="Times New Roman" w:cs="Times New Roman"/>
                <w:i/>
                <w:iCs/>
              </w:rPr>
              <w:t>Goal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 is to discontinue all other </w:t>
            </w:r>
            <w:proofErr w:type="spellStart"/>
            <w:r w:rsidRPr="00B36FE2">
              <w:rPr>
                <w:rFonts w:ascii="Times New Roman" w:eastAsia="Times New Roman" w:hAnsi="Times New Roman" w:cs="Times New Roman"/>
              </w:rPr>
              <w:t>antipscyhotic</w:t>
            </w:r>
            <w:proofErr w:type="spellEnd"/>
            <w:r w:rsidRPr="00B36FE2">
              <w:rPr>
                <w:rFonts w:ascii="Times New Roman" w:eastAsia="Times New Roman" w:hAnsi="Times New Roman" w:cs="Times New Roman"/>
              </w:rPr>
              <w:t xml:space="preserve"> and sedatives within 24 hours of starting dexmedetomidine</w:t>
            </w:r>
            <w:r w:rsidR="00B06F50">
              <w:rPr>
                <w:rFonts w:ascii="Times New Roman" w:eastAsia="Times New Roman" w:hAnsi="Times New Roman" w:cs="Times New Roman"/>
              </w:rPr>
              <w:t>, however dexmedetomidine cannot achieve deep sedation as monotherapy. Use of narcotics</w:t>
            </w:r>
            <w:r w:rsidR="00A54308">
              <w:rPr>
                <w:rFonts w:ascii="Times New Roman" w:eastAsia="Times New Roman" w:hAnsi="Times New Roman" w:cs="Times New Roman"/>
              </w:rPr>
              <w:t>, ketamine,</w:t>
            </w:r>
            <w:r w:rsidR="00B06F50">
              <w:rPr>
                <w:rFonts w:ascii="Times New Roman" w:eastAsia="Times New Roman" w:hAnsi="Times New Roman" w:cs="Times New Roman"/>
              </w:rPr>
              <w:t xml:space="preserve"> or benzodiazepines may be required.</w:t>
            </w:r>
          </w:p>
          <w:p w14:paraId="0D306A3C" w14:textId="2FBD1A71" w:rsidR="00B36FE2" w:rsidRPr="00B06F50" w:rsidRDefault="00B36FE2" w:rsidP="00F12A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Caution: patients who are on chronic </w:t>
            </w:r>
            <w:proofErr w:type="spellStart"/>
            <w:r w:rsidRPr="00B36FE2">
              <w:rPr>
                <w:rFonts w:ascii="Times New Roman" w:eastAsia="Times New Roman" w:hAnsi="Times New Roman" w:cs="Times New Roman"/>
              </w:rPr>
              <w:t>benzodiapepines</w:t>
            </w:r>
            <w:proofErr w:type="spellEnd"/>
            <w:r w:rsidRPr="00B36FE2">
              <w:rPr>
                <w:rFonts w:ascii="Times New Roman" w:eastAsia="Times New Roman" w:hAnsi="Times New Roman" w:cs="Times New Roman"/>
              </w:rPr>
              <w:t>/narcotics may require continued use</w:t>
            </w:r>
          </w:p>
          <w:p w14:paraId="15684050" w14:textId="77777777" w:rsidR="00B36FE2" w:rsidRPr="00B36FE2" w:rsidRDefault="00B36FE2" w:rsidP="00F12A0D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Stopping dexmedetomidine:</w:t>
            </w:r>
          </w:p>
          <w:p w14:paraId="5B77FF99" w14:textId="5D8E95AF" w:rsidR="00B36FE2" w:rsidRPr="00B36FE2" w:rsidRDefault="00B36FE2" w:rsidP="00F12A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Once patient is extubated</w:t>
            </w:r>
            <w:r w:rsidR="00B06F50">
              <w:rPr>
                <w:rFonts w:ascii="Times New Roman" w:eastAsia="Times New Roman" w:hAnsi="Times New Roman" w:cs="Times New Roman"/>
              </w:rPr>
              <w:t xml:space="preserve"> or there is no longer a need for sedation</w:t>
            </w:r>
            <w:r w:rsidRPr="00B36FE2">
              <w:rPr>
                <w:rFonts w:ascii="Times New Roman" w:eastAsia="Times New Roman" w:hAnsi="Times New Roman" w:cs="Times New Roman"/>
              </w:rPr>
              <w:t>, decrease dexmedetomidine dose by 50% and discontinue one hour later</w:t>
            </w:r>
          </w:p>
          <w:p w14:paraId="259575D0" w14:textId="5A3758B9" w:rsidR="00B36FE2" w:rsidRPr="00B36FE2" w:rsidRDefault="00B06F50" w:rsidP="00F12A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Abrupt discontinuation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Precedex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especially if used for long periods (days to weeks)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, may </w:t>
            </w:r>
            <w:r>
              <w:rPr>
                <w:rFonts w:ascii="Times New Roman" w:eastAsia="Times New Roman" w:hAnsi="Times New Roman" w:cs="Times New Roman"/>
              </w:rPr>
              <w:t>cause a withdraw syndrome.  Withdraw can generally be avoided by using a  clonidine taper.</w:t>
            </w:r>
          </w:p>
          <w:p w14:paraId="71D56F3F" w14:textId="7DC9F651" w:rsidR="00B36FE2" w:rsidRPr="00B36FE2" w:rsidRDefault="00B36FE2" w:rsidP="00F12A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If indicated, start clonidine while </w:t>
            </w:r>
            <w:r w:rsidR="00B06F50">
              <w:rPr>
                <w:rFonts w:ascii="Times New Roman" w:eastAsia="Times New Roman" w:hAnsi="Times New Roman" w:cs="Times New Roman"/>
              </w:rPr>
              <w:t xml:space="preserve">still </w:t>
            </w:r>
            <w:r w:rsidRPr="00B36FE2">
              <w:rPr>
                <w:rFonts w:ascii="Times New Roman" w:eastAsia="Times New Roman" w:hAnsi="Times New Roman" w:cs="Times New Roman"/>
              </w:rPr>
              <w:t>on dexmedetomidine</w:t>
            </w:r>
            <w:r w:rsidR="00B06F50">
              <w:rPr>
                <w:rFonts w:ascii="Times New Roman" w:eastAsia="Times New Roman" w:hAnsi="Times New Roman" w:cs="Times New Roman"/>
              </w:rPr>
              <w:t xml:space="preserve">.  AU </w:t>
            </w:r>
            <w:proofErr w:type="spellStart"/>
            <w:r w:rsidR="00B06F50">
              <w:rPr>
                <w:rFonts w:ascii="Times New Roman" w:eastAsia="Times New Roman" w:hAnsi="Times New Roman" w:cs="Times New Roman"/>
              </w:rPr>
              <w:t>telemed</w:t>
            </w:r>
            <w:proofErr w:type="spellEnd"/>
            <w:r w:rsidR="00B06F50">
              <w:rPr>
                <w:rFonts w:ascii="Times New Roman" w:eastAsia="Times New Roman" w:hAnsi="Times New Roman" w:cs="Times New Roman"/>
              </w:rPr>
              <w:t xml:space="preserve"> </w:t>
            </w:r>
            <w:r w:rsidR="008E2FB4">
              <w:rPr>
                <w:rFonts w:ascii="Times New Roman" w:eastAsia="Times New Roman" w:hAnsi="Times New Roman" w:cs="Times New Roman"/>
              </w:rPr>
              <w:t>will provide guidance on dosing, duration, and tapering</w:t>
            </w:r>
            <w:r w:rsidR="0022530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6FE2" w:rsidRPr="00B36FE2" w14:paraId="0F3CEEA9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09904E9C" w14:textId="28480B8E" w:rsidR="00B36FE2" w:rsidRPr="00B36FE2" w:rsidRDefault="00225302" w:rsidP="00B36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Preparation</w:t>
            </w:r>
            <w:r w:rsidR="00B36FE2" w:rsidRPr="00B36FE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64D5" w14:textId="20788ED5" w:rsidR="00B36FE2" w:rsidRPr="00B36FE2" w:rsidRDefault="00B36FE2" w:rsidP="00F12A0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400mcg in 100mL </w:t>
            </w:r>
            <w:r w:rsidR="00225302" w:rsidRPr="00B36FE2">
              <w:rPr>
                <w:rFonts w:ascii="Times New Roman" w:eastAsia="Times New Roman" w:hAnsi="Times New Roman" w:cs="Times New Roman"/>
              </w:rPr>
              <w:t>0.9%</w:t>
            </w:r>
            <w:r w:rsidR="0022530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6FE2">
              <w:rPr>
                <w:rFonts w:ascii="Times New Roman" w:eastAsia="Times New Roman" w:hAnsi="Times New Roman" w:cs="Times New Roman"/>
              </w:rPr>
              <w:t>sodium chloride</w:t>
            </w:r>
            <w:r w:rsidR="00225302">
              <w:rPr>
                <w:rFonts w:ascii="Times New Roman" w:eastAsia="Times New Roman" w:hAnsi="Times New Roman" w:cs="Times New Roman"/>
              </w:rPr>
              <w:t xml:space="preserve"> (4 mcg/mL)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6FE2" w:rsidRPr="00B36FE2" w14:paraId="79EA55D8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2F9C947A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Adverse Effects: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8CE51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Hypotension (most common adverse effect, often transient and responsive to phenylephrine rescue)</w:t>
            </w:r>
          </w:p>
          <w:p w14:paraId="780FB5BD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Bradycardia (may be treated with atropine)</w:t>
            </w:r>
          </w:p>
          <w:p w14:paraId="0DBC1C55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Sinus arrest</w:t>
            </w:r>
          </w:p>
          <w:p w14:paraId="0497A859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Dry mouth</w:t>
            </w:r>
          </w:p>
          <w:p w14:paraId="49220C0A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Nausea</w:t>
            </w:r>
          </w:p>
          <w:p w14:paraId="3A34ADD4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Lack of respiratory depression</w:t>
            </w:r>
          </w:p>
          <w:p w14:paraId="11FD81D3" w14:textId="5E6A4DB2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Transient hypertension (most common during loading dose; reduced </w:t>
            </w:r>
            <w:r w:rsidR="008E2FB4" w:rsidRPr="00B36FE2">
              <w:rPr>
                <w:rFonts w:ascii="Times New Roman" w:eastAsia="Times New Roman" w:hAnsi="Times New Roman" w:cs="Times New Roman"/>
              </w:rPr>
              <w:t>administration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 rate)</w:t>
            </w:r>
          </w:p>
          <w:p w14:paraId="456A2D08" w14:textId="77777777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May experience increased alertness or arousal upon stimulation; in isolation this should not be considered as lack of efficacy</w:t>
            </w:r>
          </w:p>
          <w:p w14:paraId="154E5A49" w14:textId="601FAB44" w:rsidR="00B36FE2" w:rsidRPr="00B36FE2" w:rsidRDefault="00B36FE2" w:rsidP="00F12A0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Prolonged exposure to dexmedetomidine beyond 24 hours may be</w:t>
            </w:r>
            <w:r w:rsidR="00A54308">
              <w:rPr>
                <w:rFonts w:ascii="Times New Roman" w:eastAsia="Times New Roman" w:hAnsi="Times New Roman" w:cs="Times New Roman"/>
              </w:rPr>
              <w:t xml:space="preserve"> </w:t>
            </w:r>
            <w:r w:rsidRPr="00B36FE2">
              <w:rPr>
                <w:rFonts w:ascii="Times New Roman" w:eastAsia="Times New Roman" w:hAnsi="Times New Roman" w:cs="Times New Roman"/>
              </w:rPr>
              <w:t>associated with tolerance and tachyphylaxis</w:t>
            </w:r>
          </w:p>
        </w:tc>
      </w:tr>
      <w:tr w:rsidR="00B36FE2" w:rsidRPr="00B36FE2" w14:paraId="68EA1611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2DEC2992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Contraindications: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3814E" w14:textId="77777777" w:rsidR="00B36FE2" w:rsidRPr="00B36FE2" w:rsidRDefault="00B36FE2" w:rsidP="00F12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Use with caution in heart block or severe left ventricular dysfunction</w:t>
            </w:r>
          </w:p>
          <w:p w14:paraId="1984812E" w14:textId="77777777" w:rsidR="00B36FE2" w:rsidRPr="00B36FE2" w:rsidRDefault="00B36FE2" w:rsidP="00F12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 xml:space="preserve">Bradycardia and sinus arrest </w:t>
            </w:r>
            <w:r w:rsidRPr="00B36FE2">
              <w:rPr>
                <w:rFonts w:ascii="Times New Roman" w:eastAsia="Times New Roman" w:hAnsi="Times New Roman" w:cs="Times New Roman"/>
              </w:rPr>
              <w:t>have occurred in healthy volunteers with high vagal tone or in patients who received rapid IV administration</w:t>
            </w:r>
          </w:p>
          <w:p w14:paraId="0B5C6E26" w14:textId="77777777" w:rsidR="00B36FE2" w:rsidRPr="00B36FE2" w:rsidRDefault="00B36FE2" w:rsidP="00F12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Hypotension and bradycardia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 may be more pronounced in patients with hypovolemia, diabetes mellitus, chronic hypertension or in elderly</w:t>
            </w:r>
          </w:p>
          <w:p w14:paraId="73FA5043" w14:textId="77777777" w:rsidR="00B36FE2" w:rsidRPr="00B36FE2" w:rsidRDefault="00B36FE2" w:rsidP="00F12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Consider dose reduction in elderly and hepatic failure</w:t>
            </w:r>
          </w:p>
          <w:p w14:paraId="6B13928D" w14:textId="5CD6FEEB" w:rsidR="00B36FE2" w:rsidRPr="008E2FB4" w:rsidRDefault="00B36FE2" w:rsidP="00F12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Should not be used during pregnancy</w:t>
            </w:r>
          </w:p>
        </w:tc>
      </w:tr>
      <w:tr w:rsidR="00B36FE2" w:rsidRPr="00B36FE2" w14:paraId="00A939AC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775D8B46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Drug Interactions: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4FB5B" w14:textId="77777777" w:rsidR="00B36FE2" w:rsidRPr="00B36FE2" w:rsidRDefault="00B36FE2" w:rsidP="00F12A0D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Dexmedetomidine + other anesthetics, sedatives, hypnotics, opioids may lead to enhancement of effects (analgesic requirements may be significantly reduced)</w:t>
            </w:r>
          </w:p>
          <w:p w14:paraId="6C1BC6DF" w14:textId="77777777" w:rsidR="00B36FE2" w:rsidRPr="00B36FE2" w:rsidRDefault="00B36FE2" w:rsidP="00F12A0D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Dexmedetomidine + vasodilators or negative chronotropic agents may lead to additive pharmacodynamic effects</w:t>
            </w:r>
          </w:p>
        </w:tc>
      </w:tr>
      <w:tr w:rsidR="00B36FE2" w:rsidRPr="00B36FE2" w14:paraId="1700266E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77163B3F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t>Monitoring Therapy: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BCFD5" w14:textId="60EE2FD3" w:rsidR="00B36FE2" w:rsidRPr="00B36FE2" w:rsidRDefault="008E2FB4" w:rsidP="00F12A0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B36FE2" w:rsidRPr="00B36FE2">
              <w:rPr>
                <w:rFonts w:ascii="Times New Roman" w:eastAsia="Times New Roman" w:hAnsi="Times New Roman" w:cs="Times New Roman"/>
              </w:rPr>
              <w:t>ontinuous heart rate and rhythm</w:t>
            </w:r>
          </w:p>
          <w:p w14:paraId="3390EBA2" w14:textId="23832DDC" w:rsidR="00B36FE2" w:rsidRPr="00B36FE2" w:rsidRDefault="008E2FB4" w:rsidP="00F12A0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B36FE2" w:rsidRPr="00B36FE2">
              <w:rPr>
                <w:rFonts w:ascii="Times New Roman" w:eastAsia="Times New Roman" w:hAnsi="Times New Roman" w:cs="Times New Roman"/>
              </w:rPr>
              <w:t>lood pressure</w:t>
            </w:r>
            <w:r>
              <w:rPr>
                <w:rFonts w:ascii="Times New Roman" w:eastAsia="Times New Roman" w:hAnsi="Times New Roman" w:cs="Times New Roman"/>
              </w:rPr>
              <w:t>, minimum q1 hour</w:t>
            </w:r>
          </w:p>
          <w:p w14:paraId="59AC63BE" w14:textId="36CE50E8" w:rsidR="00B36FE2" w:rsidRPr="00B36FE2" w:rsidRDefault="008E2FB4" w:rsidP="00F12A0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Daily assessment for p</w:t>
            </w:r>
            <w:r w:rsidR="00B36FE2" w:rsidRPr="00B36FE2">
              <w:rPr>
                <w:rFonts w:ascii="Times New Roman" w:eastAsia="Times New Roman" w:hAnsi="Times New Roman" w:cs="Times New Roman"/>
              </w:rPr>
              <w:t>ain, agitation and delirium</w:t>
            </w:r>
          </w:p>
          <w:p w14:paraId="457B4B36" w14:textId="13498AAE" w:rsidR="00B36FE2" w:rsidRPr="00B36FE2" w:rsidRDefault="008E2FB4" w:rsidP="00F12A0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B36FE2" w:rsidRPr="00B36FE2">
              <w:rPr>
                <w:rFonts w:ascii="Times New Roman" w:eastAsia="Times New Roman" w:hAnsi="Times New Roman" w:cs="Times New Roman"/>
              </w:rPr>
              <w:t>xygen saturation</w:t>
            </w:r>
          </w:p>
          <w:p w14:paraId="260132A2" w14:textId="233FCB92" w:rsidR="00B36FE2" w:rsidRPr="00B36FE2" w:rsidRDefault="008E2FB4" w:rsidP="00F12A0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B36FE2" w:rsidRPr="00B36FE2">
              <w:rPr>
                <w:rFonts w:ascii="Times New Roman" w:eastAsia="Times New Roman" w:hAnsi="Times New Roman" w:cs="Times New Roman"/>
              </w:rPr>
              <w:t xml:space="preserve">eaning from mechanical ventilation and readiness for </w:t>
            </w:r>
            <w:proofErr w:type="spellStart"/>
            <w:r w:rsidR="00B36FE2" w:rsidRPr="00B36FE2">
              <w:rPr>
                <w:rFonts w:ascii="Times New Roman" w:eastAsia="Times New Roman" w:hAnsi="Times New Roman" w:cs="Times New Roman"/>
              </w:rPr>
              <w:t>extubation</w:t>
            </w:r>
            <w:proofErr w:type="spellEnd"/>
          </w:p>
        </w:tc>
      </w:tr>
      <w:tr w:rsidR="00B36FE2" w:rsidRPr="00B36FE2" w14:paraId="519028FA" w14:textId="77777777" w:rsidTr="00504046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hideMark/>
          </w:tcPr>
          <w:p w14:paraId="7BCEF890" w14:textId="77777777" w:rsidR="00B36FE2" w:rsidRPr="00B36FE2" w:rsidRDefault="00B36FE2" w:rsidP="00B36FE2">
            <w:p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Adult Critical Care Protocol: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456FF" w14:textId="2411939F" w:rsidR="00B36FE2" w:rsidRPr="00B36FE2" w:rsidRDefault="00B36FE2" w:rsidP="00F12A0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 xml:space="preserve">May be administered by </w:t>
            </w:r>
            <w:r w:rsidR="008E2FB4">
              <w:rPr>
                <w:rFonts w:ascii="Times New Roman" w:eastAsia="Times New Roman" w:hAnsi="Times New Roman" w:cs="Times New Roman"/>
              </w:rPr>
              <w:t xml:space="preserve">peripheral or central </w:t>
            </w:r>
            <w:r w:rsidRPr="00B36FE2">
              <w:rPr>
                <w:rFonts w:ascii="Times New Roman" w:eastAsia="Times New Roman" w:hAnsi="Times New Roman" w:cs="Times New Roman"/>
              </w:rPr>
              <w:t xml:space="preserve">IV infusion and titrated by a nurse in </w:t>
            </w:r>
            <w:r w:rsidR="008E2FB4">
              <w:rPr>
                <w:rFonts w:ascii="Times New Roman" w:eastAsia="Times New Roman" w:hAnsi="Times New Roman" w:cs="Times New Roman"/>
              </w:rPr>
              <w:t>the ICU</w:t>
            </w:r>
          </w:p>
          <w:p w14:paraId="442A317B" w14:textId="77777777" w:rsidR="00B36FE2" w:rsidRPr="00B36FE2" w:rsidRDefault="00B36FE2" w:rsidP="00F12A0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Continuous infusions must be administered by infusion device and the pump library must be enabled.</w:t>
            </w:r>
          </w:p>
          <w:p w14:paraId="21B9020B" w14:textId="77777777" w:rsidR="00B36FE2" w:rsidRPr="00B36FE2" w:rsidRDefault="00B36FE2" w:rsidP="00F12A0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B36FE2">
              <w:rPr>
                <w:rFonts w:ascii="Times New Roman" w:eastAsia="Times New Roman" w:hAnsi="Times New Roman" w:cs="Times New Roman"/>
              </w:rPr>
              <w:t>Placement of an arterial line for blood pressure monitoring is preferred</w:t>
            </w:r>
          </w:p>
        </w:tc>
      </w:tr>
    </w:tbl>
    <w:p w14:paraId="78BE62D6" w14:textId="77777777" w:rsidR="00627819" w:rsidRDefault="00627819"/>
    <w:sectPr w:rsidR="00627819" w:rsidSect="00055C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BA11" w14:textId="77777777" w:rsidR="00361457" w:rsidRDefault="00361457" w:rsidP="00C86D87">
      <w:r>
        <w:separator/>
      </w:r>
    </w:p>
  </w:endnote>
  <w:endnote w:type="continuationSeparator" w:id="0">
    <w:p w14:paraId="1EDBD70B" w14:textId="77777777" w:rsidR="00361457" w:rsidRDefault="00361457" w:rsidP="00C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BC75" w14:textId="77777777" w:rsidR="00361457" w:rsidRDefault="00361457" w:rsidP="00C86D87">
      <w:r>
        <w:separator/>
      </w:r>
    </w:p>
  </w:footnote>
  <w:footnote w:type="continuationSeparator" w:id="0">
    <w:p w14:paraId="4D160E16" w14:textId="77777777" w:rsidR="00361457" w:rsidRDefault="00361457" w:rsidP="00C8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B5ED" w14:textId="280050FF" w:rsidR="00C86D87" w:rsidRPr="00F12A0D" w:rsidRDefault="00F12A0D" w:rsidP="00F12A0D">
    <w:pPr>
      <w:pStyle w:val="Header"/>
      <w:jc w:val="center"/>
      <w:rPr>
        <w:b/>
        <w:bCs/>
      </w:rPr>
    </w:pPr>
    <w:r w:rsidRPr="00F12A0D">
      <w:rPr>
        <w:b/>
        <w:bCs/>
      </w:rPr>
      <w:t xml:space="preserve">AU Telemedicine </w:t>
    </w:r>
    <w:proofErr w:type="spellStart"/>
    <w:r w:rsidRPr="00F12A0D">
      <w:rPr>
        <w:b/>
        <w:bCs/>
      </w:rPr>
      <w:t>Precedex</w:t>
    </w:r>
    <w:proofErr w:type="spellEnd"/>
    <w:r w:rsidRPr="00F12A0D">
      <w:rPr>
        <w:b/>
        <w:bCs/>
      </w:rPr>
      <w:t xml:space="preserve"> Guideline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30A"/>
    <w:multiLevelType w:val="hybridMultilevel"/>
    <w:tmpl w:val="78A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4D9"/>
    <w:multiLevelType w:val="multilevel"/>
    <w:tmpl w:val="D04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C47A5"/>
    <w:multiLevelType w:val="multilevel"/>
    <w:tmpl w:val="72E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344A2"/>
    <w:multiLevelType w:val="multilevel"/>
    <w:tmpl w:val="8E1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306B"/>
    <w:multiLevelType w:val="multilevel"/>
    <w:tmpl w:val="64F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284A"/>
    <w:multiLevelType w:val="multilevel"/>
    <w:tmpl w:val="95B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3DE5"/>
    <w:multiLevelType w:val="multilevel"/>
    <w:tmpl w:val="77D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95FD1"/>
    <w:multiLevelType w:val="multilevel"/>
    <w:tmpl w:val="1EE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13547"/>
    <w:multiLevelType w:val="multilevel"/>
    <w:tmpl w:val="231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C2AAB"/>
    <w:multiLevelType w:val="multilevel"/>
    <w:tmpl w:val="78A60EE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19DF"/>
    <w:multiLevelType w:val="multilevel"/>
    <w:tmpl w:val="586C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10C99"/>
    <w:multiLevelType w:val="multilevel"/>
    <w:tmpl w:val="0F3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53E37"/>
    <w:multiLevelType w:val="multilevel"/>
    <w:tmpl w:val="F78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35549"/>
    <w:multiLevelType w:val="multilevel"/>
    <w:tmpl w:val="483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5DD3"/>
    <w:multiLevelType w:val="multilevel"/>
    <w:tmpl w:val="738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C4920"/>
    <w:multiLevelType w:val="multilevel"/>
    <w:tmpl w:val="184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3C43E4"/>
    <w:multiLevelType w:val="multilevel"/>
    <w:tmpl w:val="7312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52038"/>
    <w:multiLevelType w:val="multilevel"/>
    <w:tmpl w:val="65F6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16"/>
  </w:num>
  <w:num w:numId="8">
    <w:abstractNumId w:val="10"/>
  </w:num>
  <w:num w:numId="9">
    <w:abstractNumId w:val="15"/>
  </w:num>
  <w:num w:numId="10">
    <w:abstractNumId w:val="2"/>
  </w:num>
  <w:num w:numId="11">
    <w:abstractNumId w:val="3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E2"/>
    <w:rsid w:val="00055CC4"/>
    <w:rsid w:val="001E4FC3"/>
    <w:rsid w:val="00225302"/>
    <w:rsid w:val="00361457"/>
    <w:rsid w:val="00504046"/>
    <w:rsid w:val="00627819"/>
    <w:rsid w:val="008E2FB4"/>
    <w:rsid w:val="00A115A1"/>
    <w:rsid w:val="00A54308"/>
    <w:rsid w:val="00AF2CE8"/>
    <w:rsid w:val="00B06F50"/>
    <w:rsid w:val="00B36FE2"/>
    <w:rsid w:val="00C86D87"/>
    <w:rsid w:val="00F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7D38"/>
  <w15:chartTrackingRefBased/>
  <w15:docId w15:val="{208CD468-22C8-8448-AC5F-020D9668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F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F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ubscript">
    <w:name w:val="subscript"/>
    <w:basedOn w:val="DefaultParagraphFont"/>
    <w:rsid w:val="00B36FE2"/>
  </w:style>
  <w:style w:type="character" w:customStyle="1" w:styleId="style1">
    <w:name w:val="style1"/>
    <w:basedOn w:val="DefaultParagraphFont"/>
    <w:rsid w:val="00B36FE2"/>
  </w:style>
  <w:style w:type="paragraph" w:styleId="Header">
    <w:name w:val="header"/>
    <w:basedOn w:val="Normal"/>
    <w:link w:val="HeaderChar"/>
    <w:uiPriority w:val="99"/>
    <w:unhideWhenUsed/>
    <w:rsid w:val="00C86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D87"/>
  </w:style>
  <w:style w:type="paragraph" w:styleId="Footer">
    <w:name w:val="footer"/>
    <w:basedOn w:val="Normal"/>
    <w:link w:val="FooterChar"/>
    <w:uiPriority w:val="99"/>
    <w:unhideWhenUsed/>
    <w:rsid w:val="00C86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D87"/>
  </w:style>
  <w:style w:type="paragraph" w:styleId="ListParagraph">
    <w:name w:val="List Paragraph"/>
    <w:basedOn w:val="Normal"/>
    <w:uiPriority w:val="34"/>
    <w:qFormat/>
    <w:rsid w:val="00F12A0D"/>
    <w:pPr>
      <w:ind w:left="720"/>
      <w:contextualSpacing/>
    </w:pPr>
  </w:style>
  <w:style w:type="numbering" w:customStyle="1" w:styleId="CurrentList1">
    <w:name w:val="Current List1"/>
    <w:uiPriority w:val="99"/>
    <w:rsid w:val="00F12A0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Bursey</dc:creator>
  <cp:keywords/>
  <dc:description/>
  <cp:lastModifiedBy>Michael Bursey</cp:lastModifiedBy>
  <cp:revision>6</cp:revision>
  <dcterms:created xsi:type="dcterms:W3CDTF">2021-08-24T16:03:00Z</dcterms:created>
  <dcterms:modified xsi:type="dcterms:W3CDTF">2021-08-24T18:35:00Z</dcterms:modified>
</cp:coreProperties>
</file>