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59E" w:rsidRDefault="002D5CF2" w:rsidP="0004659E">
      <w:pPr>
        <w:jc w:val="center"/>
        <w:rPr>
          <w:noProof/>
        </w:rPr>
      </w:pPr>
      <w:r>
        <w:rPr>
          <w:rFonts w:ascii="Times New Roman" w:hAnsi="Times New Roman" w:cs="Times New Roman"/>
          <w:noProof/>
          <w:sz w:val="28"/>
          <w:szCs w:val="28"/>
        </w:rPr>
        <w:drawing>
          <wp:anchor distT="0" distB="0" distL="114300" distR="114300" simplePos="0" relativeHeight="251658240" behindDoc="0" locked="0" layoutInCell="1" allowOverlap="1" wp14:anchorId="1D53F962" wp14:editId="3992E1D2">
            <wp:simplePos x="0" y="0"/>
            <wp:positionH relativeFrom="page">
              <wp:posOffset>2981325</wp:posOffset>
            </wp:positionH>
            <wp:positionV relativeFrom="page">
              <wp:posOffset>449580</wp:posOffset>
            </wp:positionV>
            <wp:extent cx="1857375" cy="815340"/>
            <wp:effectExtent l="0" t="0" r="0" b="0"/>
            <wp:wrapThrough wrapText="bothSides">
              <wp:wrapPolygon edited="0">
                <wp:start x="1994" y="0"/>
                <wp:lineTo x="0" y="2019"/>
                <wp:lineTo x="0" y="16150"/>
                <wp:lineTo x="222" y="21196"/>
                <wp:lineTo x="21268" y="21196"/>
                <wp:lineTo x="21489" y="18673"/>
                <wp:lineTo x="21489" y="0"/>
                <wp:lineTo x="1994" y="0"/>
              </wp:wrapPolygon>
            </wp:wrapThrough>
            <wp:docPr id="1" name="Picture 1" descr="GRU_vertical_2C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_vertical_2Cgradi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7375"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5CF2" w:rsidRDefault="002D5CF2" w:rsidP="0004659E">
      <w:pPr>
        <w:jc w:val="center"/>
        <w:rPr>
          <w:rFonts w:ascii="Times New Roman" w:hAnsi="Times New Roman" w:cs="Times New Roman"/>
          <w:sz w:val="28"/>
          <w:szCs w:val="28"/>
        </w:rPr>
      </w:pPr>
    </w:p>
    <w:p w:rsidR="002D5CF2" w:rsidRDefault="002D5CF2" w:rsidP="0004659E">
      <w:pPr>
        <w:jc w:val="center"/>
        <w:rPr>
          <w:rFonts w:ascii="Times New Roman" w:hAnsi="Times New Roman" w:cs="Times New Roman"/>
          <w:b/>
          <w:sz w:val="28"/>
          <w:szCs w:val="28"/>
        </w:rPr>
      </w:pPr>
    </w:p>
    <w:p w:rsidR="00164119" w:rsidRDefault="00164119" w:rsidP="0004659E">
      <w:pPr>
        <w:jc w:val="center"/>
        <w:rPr>
          <w:rFonts w:ascii="Times New Roman" w:hAnsi="Times New Roman" w:cs="Times New Roman"/>
          <w:b/>
          <w:sz w:val="28"/>
          <w:szCs w:val="28"/>
        </w:rPr>
      </w:pPr>
    </w:p>
    <w:p w:rsidR="000F3B0D" w:rsidRPr="0004659E" w:rsidRDefault="000F3B0D" w:rsidP="0004659E">
      <w:pPr>
        <w:jc w:val="center"/>
        <w:rPr>
          <w:b/>
        </w:rPr>
      </w:pPr>
      <w:r w:rsidRPr="0004659E">
        <w:rPr>
          <w:rFonts w:ascii="Times New Roman" w:hAnsi="Times New Roman" w:cs="Times New Roman"/>
          <w:b/>
          <w:sz w:val="28"/>
          <w:szCs w:val="28"/>
        </w:rPr>
        <w:t>General Residency Information</w:t>
      </w:r>
    </w:p>
    <w:p w:rsidR="000F3B0D" w:rsidRPr="00AA1246" w:rsidRDefault="000F3B0D" w:rsidP="00164119">
      <w:pPr>
        <w:pStyle w:val="Heading2"/>
        <w:spacing w:after="0"/>
        <w:jc w:val="center"/>
        <w:rPr>
          <w:rFonts w:ascii="Times New Roman" w:hAnsi="Times New Roman"/>
        </w:rPr>
      </w:pPr>
      <w:r>
        <w:rPr>
          <w:rFonts w:ascii="Times New Roman" w:hAnsi="Times New Roman"/>
        </w:rPr>
        <w:t xml:space="preserve">Salary   </w:t>
      </w:r>
      <w:r w:rsidR="00342940">
        <w:rPr>
          <w:rFonts w:ascii="Times New Roman" w:hAnsi="Times New Roman"/>
        </w:rPr>
        <w:t xml:space="preserve">     </w:t>
      </w:r>
      <w:proofErr w:type="gramStart"/>
      <w:r w:rsidR="00342940">
        <w:rPr>
          <w:rFonts w:ascii="Times New Roman" w:hAnsi="Times New Roman"/>
        </w:rPr>
        <w:t>FY  2016</w:t>
      </w:r>
      <w:proofErr w:type="gramEnd"/>
    </w:p>
    <w:p w:rsidR="00AA1246" w:rsidRDefault="003E72B4" w:rsidP="00164119">
      <w:pPr>
        <w:spacing w:after="0"/>
        <w:ind w:left="-1260" w:right="-1620"/>
        <w:rPr>
          <w:b/>
        </w:rPr>
      </w:pPr>
      <w:r>
        <w:rPr>
          <w:b/>
        </w:rPr>
        <w:t xml:space="preserve">                                                                                             </w:t>
      </w:r>
      <w:r w:rsidR="00164119">
        <w:rPr>
          <w:b/>
        </w:rPr>
        <w:t xml:space="preserve">  </w:t>
      </w:r>
      <w:r w:rsidR="00342940">
        <w:rPr>
          <w:b/>
        </w:rPr>
        <w:t xml:space="preserve"> July 1, 2015 –June 30, 2016</w:t>
      </w:r>
    </w:p>
    <w:p w:rsidR="00164119" w:rsidRDefault="00164119" w:rsidP="00164119">
      <w:pPr>
        <w:spacing w:after="0"/>
        <w:ind w:left="-1260" w:right="-1620"/>
        <w:rPr>
          <w:b/>
        </w:rPr>
      </w:pPr>
    </w:p>
    <w:p w:rsidR="00164119" w:rsidRPr="00F70052" w:rsidRDefault="00164119" w:rsidP="00164119">
      <w:pPr>
        <w:spacing w:after="0"/>
        <w:ind w:left="-1260" w:right="-1620"/>
        <w:rPr>
          <w:b/>
        </w:rPr>
      </w:pPr>
      <w:r>
        <w:rPr>
          <w:b/>
        </w:rPr>
        <w:tab/>
      </w:r>
      <w:r>
        <w:rPr>
          <w:b/>
        </w:rPr>
        <w:tab/>
      </w:r>
      <w:r>
        <w:rPr>
          <w:b/>
        </w:rPr>
        <w:tab/>
      </w:r>
      <w:r>
        <w:rPr>
          <w:b/>
        </w:rPr>
        <w:tab/>
      </w:r>
      <w:r>
        <w:rPr>
          <w:b/>
        </w:rPr>
        <w:tab/>
      </w:r>
      <w:r>
        <w:rPr>
          <w:b/>
        </w:rPr>
        <w:tab/>
      </w:r>
      <w:r>
        <w:rPr>
          <w:b/>
        </w:rPr>
        <w:tab/>
        <w:t xml:space="preserve">              Monthly</w:t>
      </w:r>
      <w:r>
        <w:rPr>
          <w:b/>
        </w:rPr>
        <w:tab/>
        <w:t>Annual</w:t>
      </w:r>
    </w:p>
    <w:p w:rsidR="00AA1246" w:rsidRPr="00AA1246" w:rsidRDefault="00164119" w:rsidP="00164119">
      <w:pPr>
        <w:spacing w:after="0" w:line="240" w:lineRule="auto"/>
        <w:ind w:left="1440" w:right="-990" w:firstLine="720"/>
      </w:pPr>
      <w:r>
        <w:t xml:space="preserve">                   </w:t>
      </w:r>
      <w:r w:rsidR="003E72B4">
        <w:t>PGY 1</w:t>
      </w:r>
      <w:r w:rsidR="003E72B4">
        <w:tab/>
      </w:r>
      <w:r w:rsidR="00342940">
        <w:t>4,027.25</w:t>
      </w:r>
      <w:r w:rsidR="00AA1246" w:rsidRPr="00AA1246">
        <w:tab/>
      </w:r>
      <w:r w:rsidR="00342940">
        <w:t>48,327</w:t>
      </w:r>
    </w:p>
    <w:p w:rsidR="00AA1246" w:rsidRPr="00AA1246" w:rsidRDefault="00164119" w:rsidP="00164119">
      <w:pPr>
        <w:spacing w:after="0" w:line="240" w:lineRule="auto"/>
        <w:ind w:left="1620" w:right="-900" w:firstLine="540"/>
      </w:pPr>
      <w:r>
        <w:t xml:space="preserve">                   </w:t>
      </w:r>
      <w:r w:rsidR="00AA1246" w:rsidRPr="00AA1246">
        <w:t>PGY 2</w:t>
      </w:r>
      <w:r w:rsidR="003E72B4">
        <w:tab/>
      </w:r>
      <w:r w:rsidR="00342940">
        <w:t>4,162.25</w:t>
      </w:r>
      <w:r w:rsidR="00AA1246" w:rsidRPr="00AA1246">
        <w:tab/>
      </w:r>
      <w:r w:rsidR="00342940">
        <w:t>49,947</w:t>
      </w:r>
    </w:p>
    <w:p w:rsidR="00AA1246" w:rsidRPr="00AA1246" w:rsidRDefault="00164119" w:rsidP="00164119">
      <w:pPr>
        <w:spacing w:after="0" w:line="240" w:lineRule="auto"/>
        <w:ind w:left="900" w:right="-1170" w:firstLine="1260"/>
      </w:pPr>
      <w:r>
        <w:t xml:space="preserve">                   </w:t>
      </w:r>
      <w:r w:rsidR="00342940">
        <w:t>PGY 3</w:t>
      </w:r>
      <w:r w:rsidR="00342940">
        <w:tab/>
        <w:t>4,304.66</w:t>
      </w:r>
      <w:r w:rsidR="00AA1246" w:rsidRPr="00AA1246">
        <w:tab/>
      </w:r>
      <w:r w:rsidR="00342940">
        <w:t>51,656</w:t>
      </w:r>
    </w:p>
    <w:p w:rsidR="00AA1246" w:rsidRPr="00AA1246" w:rsidRDefault="00164119" w:rsidP="00164119">
      <w:pPr>
        <w:spacing w:after="0" w:line="240" w:lineRule="auto"/>
        <w:ind w:left="900" w:right="-1170" w:firstLine="1260"/>
      </w:pPr>
      <w:r>
        <w:t xml:space="preserve">                   </w:t>
      </w:r>
      <w:r w:rsidR="00AA1246" w:rsidRPr="00AA1246">
        <w:t>PGY 4</w:t>
      </w:r>
      <w:r w:rsidR="00AA1246" w:rsidRPr="00AA1246">
        <w:tab/>
      </w:r>
      <w:r w:rsidR="00342940">
        <w:t>4,470.66</w:t>
      </w:r>
      <w:r w:rsidR="00AA1246" w:rsidRPr="00AA1246">
        <w:tab/>
      </w:r>
      <w:r w:rsidR="00342940">
        <w:t>53,648</w:t>
      </w:r>
    </w:p>
    <w:p w:rsidR="00AA1246" w:rsidRPr="00AA1246" w:rsidRDefault="00164119" w:rsidP="00164119">
      <w:pPr>
        <w:spacing w:after="0" w:line="240" w:lineRule="auto"/>
        <w:ind w:left="900" w:right="-990" w:firstLine="1260"/>
      </w:pPr>
      <w:r>
        <w:t xml:space="preserve">                   </w:t>
      </w:r>
      <w:r w:rsidR="00AA1246" w:rsidRPr="00AA1246">
        <w:t>PGY 5</w:t>
      </w:r>
      <w:r w:rsidR="00AA1246" w:rsidRPr="00AA1246">
        <w:tab/>
      </w:r>
      <w:r w:rsidR="00342940">
        <w:t>4,659.75</w:t>
      </w:r>
      <w:r w:rsidR="00AA1246" w:rsidRPr="00AA1246">
        <w:tab/>
      </w:r>
      <w:r w:rsidR="00342940">
        <w:t>55,917</w:t>
      </w:r>
    </w:p>
    <w:p w:rsidR="00AA1246" w:rsidRPr="00AA1246" w:rsidRDefault="00164119" w:rsidP="00164119">
      <w:pPr>
        <w:spacing w:after="0" w:line="240" w:lineRule="auto"/>
        <w:ind w:left="900" w:right="-990" w:firstLine="1260"/>
      </w:pPr>
      <w:r>
        <w:t xml:space="preserve">                   </w:t>
      </w:r>
      <w:r w:rsidR="00AA1246" w:rsidRPr="00AA1246">
        <w:t xml:space="preserve">PGY 6 </w:t>
      </w:r>
      <w:r w:rsidR="00AA1246" w:rsidRPr="00AA1246">
        <w:tab/>
      </w:r>
      <w:r w:rsidR="00342940">
        <w:t>4,861.75</w:t>
      </w:r>
      <w:r w:rsidR="00AA1246" w:rsidRPr="00AA1246">
        <w:tab/>
      </w:r>
      <w:r w:rsidR="00342940">
        <w:t>58,341</w:t>
      </w:r>
    </w:p>
    <w:p w:rsidR="00AA1246" w:rsidRPr="00AA1246" w:rsidRDefault="00164119" w:rsidP="00164119">
      <w:pPr>
        <w:spacing w:after="0" w:line="240" w:lineRule="auto"/>
        <w:ind w:left="900" w:right="-1080" w:firstLine="1260"/>
      </w:pPr>
      <w:r>
        <w:t xml:space="preserve">                   </w:t>
      </w:r>
      <w:r w:rsidR="00AA1246" w:rsidRPr="00AA1246">
        <w:t>PGY 7</w:t>
      </w:r>
      <w:r w:rsidR="00AA1246" w:rsidRPr="00AA1246">
        <w:tab/>
      </w:r>
      <w:r w:rsidR="00342940">
        <w:t>5,057.58</w:t>
      </w:r>
      <w:r w:rsidR="00342940">
        <w:tab/>
        <w:t>60,691</w:t>
      </w:r>
    </w:p>
    <w:p w:rsidR="000F3B0D" w:rsidRPr="009254E6" w:rsidRDefault="00164119" w:rsidP="00164119">
      <w:pPr>
        <w:spacing w:after="0" w:line="240" w:lineRule="auto"/>
        <w:ind w:left="900" w:right="-1080" w:firstLine="1260"/>
      </w:pPr>
      <w:r>
        <w:t xml:space="preserve">                   </w:t>
      </w:r>
      <w:r w:rsidR="00AA1246" w:rsidRPr="00AA1246">
        <w:t>PGY 8</w:t>
      </w:r>
      <w:r w:rsidR="00AA1246" w:rsidRPr="00AA1246">
        <w:tab/>
      </w:r>
      <w:r w:rsidR="00342940">
        <w:t>5,231.83</w:t>
      </w:r>
      <w:r w:rsidR="00AA1246" w:rsidRPr="00AA1246">
        <w:tab/>
      </w:r>
      <w:r w:rsidR="00342940">
        <w:t>62,782</w:t>
      </w:r>
    </w:p>
    <w:p w:rsidR="000F3B0D" w:rsidRPr="00151564" w:rsidRDefault="00812BED" w:rsidP="000F3B0D">
      <w:pPr>
        <w:spacing w:before="120" w:after="60"/>
        <w:rPr>
          <w:b/>
          <w:bCs/>
          <w:color w:val="000000"/>
        </w:rPr>
      </w:pPr>
      <w:r>
        <w:rPr>
          <w:b/>
          <w:bCs/>
          <w:color w:val="000000"/>
        </w:rPr>
        <w:t>P</w:t>
      </w:r>
      <w:r w:rsidR="000F3B0D" w:rsidRPr="00151564">
        <w:rPr>
          <w:b/>
          <w:bCs/>
          <w:color w:val="000000"/>
        </w:rPr>
        <w:t>atient Rounds</w:t>
      </w:r>
    </w:p>
    <w:p w:rsidR="000F3B0D" w:rsidRPr="00151564" w:rsidRDefault="000F3B0D" w:rsidP="000F3B0D">
      <w:pPr>
        <w:pStyle w:val="BodyText"/>
        <w:rPr>
          <w:sz w:val="22"/>
          <w:szCs w:val="22"/>
        </w:rPr>
      </w:pPr>
      <w:r w:rsidRPr="00151564">
        <w:rPr>
          <w:sz w:val="22"/>
          <w:szCs w:val="22"/>
        </w:rPr>
        <w:t>Rounds are made with the faulty and House Officers on a daily basis, and occur at the MCG</w:t>
      </w:r>
      <w:r>
        <w:rPr>
          <w:sz w:val="22"/>
          <w:szCs w:val="22"/>
        </w:rPr>
        <w:t xml:space="preserve"> Health</w:t>
      </w:r>
      <w:r w:rsidRPr="00151564">
        <w:rPr>
          <w:sz w:val="22"/>
          <w:szCs w:val="22"/>
        </w:rPr>
        <w:t xml:space="preserve"> Systems, Veterans Affairs Medical and/or the Children’s Medical Center, according to the patient population of each service. </w:t>
      </w:r>
    </w:p>
    <w:p w:rsidR="000F3B0D" w:rsidRPr="00151564" w:rsidRDefault="000F3B0D" w:rsidP="000F3B0D">
      <w:pPr>
        <w:pStyle w:val="BodyText"/>
        <w:rPr>
          <w:sz w:val="22"/>
          <w:szCs w:val="22"/>
        </w:rPr>
      </w:pPr>
    </w:p>
    <w:p w:rsidR="000F3B0D" w:rsidRPr="00151564" w:rsidRDefault="000F3B0D" w:rsidP="000F3B0D">
      <w:pPr>
        <w:spacing w:before="120" w:after="60"/>
        <w:rPr>
          <w:b/>
          <w:bCs/>
          <w:color w:val="000000"/>
        </w:rPr>
      </w:pPr>
      <w:r w:rsidRPr="00151564">
        <w:rPr>
          <w:b/>
          <w:bCs/>
          <w:color w:val="000000"/>
        </w:rPr>
        <w:t>Call Schedule</w:t>
      </w:r>
    </w:p>
    <w:p w:rsidR="000F3B0D" w:rsidRPr="00151564" w:rsidRDefault="000F3B0D" w:rsidP="000F3B0D">
      <w:pPr>
        <w:pStyle w:val="BodyText"/>
        <w:rPr>
          <w:sz w:val="22"/>
          <w:szCs w:val="22"/>
        </w:rPr>
      </w:pPr>
      <w:r w:rsidRPr="00151564">
        <w:rPr>
          <w:sz w:val="22"/>
          <w:szCs w:val="22"/>
        </w:rPr>
        <w:t xml:space="preserve">The frequency of on-call duty for House Officers is, on the average no more than every third night. House Officers are required to spend on the average, at least 1 full day out of 7 away from Program duties. It should be noted that these frequencies are averages over a 4 week period of time and a House Officer’s call schedule may vary according to patient care needs and the particular service involved. </w:t>
      </w:r>
    </w:p>
    <w:p w:rsidR="000F3B0D" w:rsidRPr="00151564" w:rsidRDefault="000F3B0D" w:rsidP="000F3B0D">
      <w:pPr>
        <w:pStyle w:val="Heading2"/>
        <w:rPr>
          <w:rFonts w:ascii="Times New Roman" w:hAnsi="Times New Roman"/>
          <w:sz w:val="22"/>
          <w:szCs w:val="22"/>
        </w:rPr>
      </w:pPr>
      <w:r w:rsidRPr="00151564">
        <w:rPr>
          <w:rFonts w:ascii="Times New Roman" w:hAnsi="Times New Roman"/>
          <w:sz w:val="22"/>
          <w:szCs w:val="22"/>
        </w:rPr>
        <w:t xml:space="preserve">Criminal Background Check </w:t>
      </w:r>
    </w:p>
    <w:p w:rsidR="000F3B0D" w:rsidRPr="00151564" w:rsidRDefault="000F3B0D" w:rsidP="000F3B0D">
      <w:pPr>
        <w:pStyle w:val="BodyText"/>
        <w:rPr>
          <w:sz w:val="22"/>
          <w:szCs w:val="22"/>
        </w:rPr>
      </w:pPr>
      <w:r w:rsidRPr="00151564">
        <w:rPr>
          <w:sz w:val="22"/>
          <w:szCs w:val="22"/>
        </w:rPr>
        <w:t>A House Officer’s contract is contingent upon consenting to a criminal background check through G</w:t>
      </w:r>
      <w:r w:rsidR="002D5CF2">
        <w:rPr>
          <w:sz w:val="22"/>
          <w:szCs w:val="22"/>
        </w:rPr>
        <w:t>R</w:t>
      </w:r>
      <w:r w:rsidRPr="00151564">
        <w:rPr>
          <w:sz w:val="22"/>
          <w:szCs w:val="22"/>
        </w:rPr>
        <w:t>U Human Resources, and upon G</w:t>
      </w:r>
      <w:r w:rsidR="002D5CF2">
        <w:rPr>
          <w:sz w:val="22"/>
          <w:szCs w:val="22"/>
        </w:rPr>
        <w:t>R</w:t>
      </w:r>
      <w:r w:rsidRPr="00151564">
        <w:rPr>
          <w:sz w:val="22"/>
          <w:szCs w:val="22"/>
        </w:rPr>
        <w:t>U’s approval of the results of that background check.</w:t>
      </w:r>
    </w:p>
    <w:p w:rsidR="000F3B0D" w:rsidRPr="00151564" w:rsidRDefault="000F3B0D" w:rsidP="000F3B0D">
      <w:pPr>
        <w:pStyle w:val="Heading2"/>
        <w:rPr>
          <w:rFonts w:ascii="Times New Roman" w:hAnsi="Times New Roman"/>
          <w:sz w:val="22"/>
          <w:szCs w:val="22"/>
        </w:rPr>
      </w:pPr>
      <w:r w:rsidRPr="00151564">
        <w:rPr>
          <w:rFonts w:ascii="Times New Roman" w:hAnsi="Times New Roman"/>
          <w:sz w:val="22"/>
          <w:szCs w:val="22"/>
        </w:rPr>
        <w:t>Social Security Card</w:t>
      </w:r>
    </w:p>
    <w:p w:rsidR="000F3B0D" w:rsidRPr="00151564" w:rsidRDefault="000F3B0D" w:rsidP="000F3B0D">
      <w:pPr>
        <w:pStyle w:val="BodyText"/>
        <w:rPr>
          <w:sz w:val="22"/>
          <w:szCs w:val="22"/>
        </w:rPr>
      </w:pPr>
      <w:r w:rsidRPr="00151564">
        <w:rPr>
          <w:sz w:val="22"/>
          <w:szCs w:val="22"/>
        </w:rPr>
        <w:t>Your employment date is contingent upon receiving a social security number (receipt or card must be shown) and providing Human Resources with other appropriate documentation to be eligible for G</w:t>
      </w:r>
      <w:r w:rsidR="002D5CF2">
        <w:rPr>
          <w:sz w:val="22"/>
          <w:szCs w:val="22"/>
        </w:rPr>
        <w:t>R</w:t>
      </w:r>
      <w:r w:rsidRPr="00151564">
        <w:rPr>
          <w:sz w:val="22"/>
          <w:szCs w:val="22"/>
        </w:rPr>
        <w:t>U employment processing. You will not be able to begin employment until all the necessary documentation has been provided.</w:t>
      </w:r>
    </w:p>
    <w:p w:rsidR="000F3B0D" w:rsidRPr="00151564" w:rsidRDefault="000F3B0D" w:rsidP="000F3B0D">
      <w:pPr>
        <w:pStyle w:val="Heading2"/>
        <w:rPr>
          <w:rFonts w:ascii="Times New Roman" w:hAnsi="Times New Roman"/>
          <w:sz w:val="22"/>
          <w:szCs w:val="22"/>
        </w:rPr>
      </w:pPr>
      <w:r w:rsidRPr="00151564">
        <w:rPr>
          <w:rFonts w:ascii="Times New Roman" w:hAnsi="Times New Roman"/>
          <w:sz w:val="22"/>
          <w:szCs w:val="22"/>
        </w:rPr>
        <w:t>US Citizens</w:t>
      </w:r>
    </w:p>
    <w:p w:rsidR="000F3B0D" w:rsidRPr="00151564" w:rsidRDefault="000F3B0D" w:rsidP="006C6F9D">
      <w:pPr>
        <w:spacing w:line="240" w:lineRule="auto"/>
      </w:pPr>
      <w:r w:rsidRPr="00151564">
        <w:t>U.S. Citizens will need to provide one or more of the following before employment with G</w:t>
      </w:r>
      <w:r w:rsidR="002D5CF2">
        <w:t>R</w:t>
      </w:r>
      <w:r w:rsidRPr="00151564">
        <w:t xml:space="preserve">U:  Certified U.S. Birth Certificate showing the individual was born in the U.S. or a U.S. territory.  A photocopy is not acceptable. U.S. Certificate of Naturalization (USCIS form N-550 or N-561); U.S. Certificate of Citizenship (USCIS form N-560 or N-561); U.S. Certificate of Birth Abroad issued by the Department of State (DS-1350) or a Consular Report of Birth Abroad (FS-240); A current U.S. passport; Current Drivers License </w:t>
      </w:r>
      <w:r w:rsidRPr="00151564">
        <w:lastRenderedPageBreak/>
        <w:t>issued by the State of Georgia after January 1, 2008; or a current ID issued by the State of Georgia after January 1, 2008.</w:t>
      </w:r>
    </w:p>
    <w:p w:rsidR="000F3B0D" w:rsidRPr="00151564" w:rsidRDefault="000F3B0D" w:rsidP="000F3B0D">
      <w:pPr>
        <w:pStyle w:val="Heading2"/>
        <w:rPr>
          <w:rFonts w:ascii="Times New Roman" w:hAnsi="Times New Roman"/>
          <w:sz w:val="22"/>
          <w:szCs w:val="22"/>
        </w:rPr>
      </w:pPr>
      <w:r w:rsidRPr="00151564">
        <w:rPr>
          <w:rFonts w:ascii="Times New Roman" w:hAnsi="Times New Roman"/>
          <w:sz w:val="22"/>
          <w:szCs w:val="22"/>
        </w:rPr>
        <w:t xml:space="preserve">Non U.S. Citizens </w:t>
      </w:r>
    </w:p>
    <w:p w:rsidR="000F3B0D" w:rsidRPr="00151564" w:rsidRDefault="000F3B0D" w:rsidP="000F3B0D">
      <w:pPr>
        <w:pStyle w:val="BodyText"/>
        <w:rPr>
          <w:sz w:val="22"/>
          <w:szCs w:val="22"/>
        </w:rPr>
      </w:pPr>
      <w:r w:rsidRPr="00151564">
        <w:rPr>
          <w:sz w:val="22"/>
          <w:szCs w:val="22"/>
        </w:rPr>
        <w:t>Non-U.S. citizens will need one or mor</w:t>
      </w:r>
      <w:r>
        <w:rPr>
          <w:sz w:val="22"/>
          <w:szCs w:val="22"/>
        </w:rPr>
        <w:t xml:space="preserve">e of the following: Current </w:t>
      </w:r>
      <w:r w:rsidRPr="00151564">
        <w:rPr>
          <w:sz w:val="22"/>
          <w:szCs w:val="22"/>
        </w:rPr>
        <w:t xml:space="preserve"> passport, valid permanent resident card, valid employment authorization card, valid re-entry permit, proper visa verification and any other information required. See employment verification eligibility form to verify which specific documentation is necessary to be processed in the G</w:t>
      </w:r>
      <w:r w:rsidR="002D5CF2">
        <w:rPr>
          <w:sz w:val="22"/>
          <w:szCs w:val="22"/>
        </w:rPr>
        <w:t>R</w:t>
      </w:r>
      <w:r w:rsidRPr="00151564">
        <w:rPr>
          <w:sz w:val="22"/>
          <w:szCs w:val="22"/>
        </w:rPr>
        <w:t xml:space="preserve">U payroll system. </w:t>
      </w:r>
    </w:p>
    <w:p w:rsidR="000F3B0D" w:rsidRPr="00151564" w:rsidRDefault="000F3B0D" w:rsidP="000F3B0D">
      <w:pPr>
        <w:pStyle w:val="Heading2"/>
        <w:rPr>
          <w:rFonts w:ascii="Times New Roman" w:hAnsi="Times New Roman"/>
          <w:sz w:val="22"/>
          <w:szCs w:val="22"/>
        </w:rPr>
      </w:pPr>
      <w:r w:rsidRPr="00151564">
        <w:rPr>
          <w:rFonts w:ascii="Times New Roman" w:hAnsi="Times New Roman"/>
          <w:sz w:val="22"/>
          <w:szCs w:val="22"/>
        </w:rPr>
        <w:t xml:space="preserve">Pre-Employment Drug Screening </w:t>
      </w:r>
    </w:p>
    <w:p w:rsidR="000F3B0D" w:rsidRPr="00151564" w:rsidRDefault="000F3B0D" w:rsidP="000F3B0D">
      <w:pPr>
        <w:pStyle w:val="BodyText"/>
        <w:rPr>
          <w:sz w:val="22"/>
          <w:szCs w:val="22"/>
        </w:rPr>
      </w:pPr>
      <w:r w:rsidRPr="00151564">
        <w:rPr>
          <w:sz w:val="22"/>
          <w:szCs w:val="22"/>
        </w:rPr>
        <w:t>Upon an offer of employment, interns, residents, and fellows (House Officers) entering Training Programs at G</w:t>
      </w:r>
      <w:r w:rsidR="002D5CF2">
        <w:rPr>
          <w:sz w:val="22"/>
          <w:szCs w:val="22"/>
        </w:rPr>
        <w:t>R</w:t>
      </w:r>
      <w:r w:rsidRPr="00151564">
        <w:rPr>
          <w:sz w:val="22"/>
          <w:szCs w:val="22"/>
        </w:rPr>
        <w:t>U must adhere to a drug test prior to commencing employment or within ten days after comm</w:t>
      </w:r>
      <w:r>
        <w:rPr>
          <w:sz w:val="22"/>
          <w:szCs w:val="22"/>
        </w:rPr>
        <w:t>encing employment. Reference G</w:t>
      </w:r>
      <w:r w:rsidR="002D5CF2">
        <w:rPr>
          <w:sz w:val="22"/>
          <w:szCs w:val="22"/>
        </w:rPr>
        <w:t>R</w:t>
      </w:r>
      <w:r>
        <w:rPr>
          <w:sz w:val="22"/>
          <w:szCs w:val="22"/>
        </w:rPr>
        <w:t>U</w:t>
      </w:r>
      <w:r w:rsidRPr="00151564">
        <w:rPr>
          <w:sz w:val="22"/>
          <w:szCs w:val="22"/>
        </w:rPr>
        <w:t xml:space="preserve"> Administrative Policy 1.4.32 </w:t>
      </w:r>
    </w:p>
    <w:p w:rsidR="000F3B0D" w:rsidRPr="00151564" w:rsidRDefault="000F3B0D" w:rsidP="000F3B0D">
      <w:pPr>
        <w:pStyle w:val="Heading2"/>
        <w:rPr>
          <w:rFonts w:ascii="Times New Roman" w:hAnsi="Times New Roman"/>
          <w:sz w:val="22"/>
          <w:szCs w:val="22"/>
        </w:rPr>
      </w:pPr>
      <w:r w:rsidRPr="00151564">
        <w:rPr>
          <w:rFonts w:ascii="Times New Roman" w:hAnsi="Times New Roman"/>
          <w:sz w:val="22"/>
          <w:szCs w:val="22"/>
        </w:rPr>
        <w:t>Occup</w:t>
      </w:r>
      <w:r>
        <w:rPr>
          <w:rFonts w:ascii="Times New Roman" w:hAnsi="Times New Roman"/>
          <w:sz w:val="22"/>
          <w:szCs w:val="22"/>
        </w:rPr>
        <w:t>at</w:t>
      </w:r>
      <w:r w:rsidRPr="00151564">
        <w:rPr>
          <w:rFonts w:ascii="Times New Roman" w:hAnsi="Times New Roman"/>
          <w:sz w:val="22"/>
          <w:szCs w:val="22"/>
        </w:rPr>
        <w:t>ional Health Services</w:t>
      </w:r>
    </w:p>
    <w:p w:rsidR="000F3B0D" w:rsidRPr="00151564" w:rsidRDefault="000F3B0D" w:rsidP="000F3B0D">
      <w:pPr>
        <w:pStyle w:val="BodyText"/>
        <w:rPr>
          <w:sz w:val="22"/>
          <w:szCs w:val="22"/>
        </w:rPr>
      </w:pPr>
      <w:r w:rsidRPr="00151564">
        <w:rPr>
          <w:sz w:val="22"/>
          <w:szCs w:val="22"/>
        </w:rPr>
        <w:t xml:space="preserve">MCG Health System requires all new resident physicians to complete the Occupational Health Service process entirely to maintain employment. Occupational Health Service screening consists of blood drawn for immunization titers, fit testing for N95 respirator mask, and a 2 step TB skin test. If you have a positive TB skin test then you are required to have a chest x-ray done within the past year. If you have had a TB skin test within the last year, you will need to bring a copy with you. If you have not had a TB skin test within the last year, you will be required to do the 2-step method. </w:t>
      </w:r>
    </w:p>
    <w:p w:rsidR="000F3B0D" w:rsidRPr="00151564" w:rsidRDefault="000F3B0D" w:rsidP="000F3B0D">
      <w:pPr>
        <w:pStyle w:val="Heading2"/>
        <w:rPr>
          <w:rFonts w:ascii="Times New Roman" w:hAnsi="Times New Roman"/>
          <w:sz w:val="22"/>
          <w:szCs w:val="22"/>
        </w:rPr>
      </w:pPr>
      <w:r w:rsidRPr="00151564">
        <w:rPr>
          <w:rFonts w:ascii="Times New Roman" w:hAnsi="Times New Roman"/>
          <w:sz w:val="22"/>
          <w:szCs w:val="22"/>
        </w:rPr>
        <w:t xml:space="preserve">Moonlighting </w:t>
      </w:r>
    </w:p>
    <w:p w:rsidR="000F3B0D" w:rsidRPr="00151564" w:rsidRDefault="000F3B0D" w:rsidP="000F3B0D">
      <w:pPr>
        <w:pStyle w:val="BodyText"/>
        <w:rPr>
          <w:sz w:val="22"/>
          <w:szCs w:val="22"/>
        </w:rPr>
      </w:pPr>
      <w:r w:rsidRPr="00151564">
        <w:rPr>
          <w:sz w:val="22"/>
          <w:szCs w:val="22"/>
        </w:rPr>
        <w:t xml:space="preserve">House Officers at Georgia </w:t>
      </w:r>
      <w:r w:rsidR="002D5CF2">
        <w:rPr>
          <w:sz w:val="22"/>
          <w:szCs w:val="22"/>
        </w:rPr>
        <w:t>Regents</w:t>
      </w:r>
      <w:r w:rsidRPr="00151564">
        <w:rPr>
          <w:sz w:val="22"/>
          <w:szCs w:val="22"/>
        </w:rPr>
        <w:t xml:space="preserve"> University, </w:t>
      </w:r>
      <w:r w:rsidRPr="00151564">
        <w:rPr>
          <w:i/>
          <w:sz w:val="22"/>
          <w:szCs w:val="22"/>
        </w:rPr>
        <w:t>with the exception</w:t>
      </w:r>
      <w:r w:rsidRPr="00151564">
        <w:rPr>
          <w:sz w:val="22"/>
          <w:szCs w:val="22"/>
        </w:rPr>
        <w:t xml:space="preserve"> of International Medical Graduates on a J visa or H-1B visa, may engage in professional activities outside the educational Program (moonlighting) only with </w:t>
      </w:r>
      <w:r w:rsidRPr="00151564">
        <w:rPr>
          <w:i/>
          <w:iCs/>
          <w:sz w:val="22"/>
          <w:szCs w:val="22"/>
        </w:rPr>
        <w:t xml:space="preserve">prior written consent </w:t>
      </w:r>
      <w:r w:rsidRPr="00151564">
        <w:rPr>
          <w:sz w:val="22"/>
          <w:szCs w:val="22"/>
        </w:rPr>
        <w:t xml:space="preserve">from the Program Director </w:t>
      </w:r>
      <w:r w:rsidRPr="00151564">
        <w:rPr>
          <w:i/>
          <w:iCs/>
          <w:sz w:val="22"/>
          <w:szCs w:val="22"/>
        </w:rPr>
        <w:t xml:space="preserve">and </w:t>
      </w:r>
      <w:r w:rsidRPr="00151564">
        <w:rPr>
          <w:iCs/>
          <w:sz w:val="22"/>
          <w:szCs w:val="22"/>
        </w:rPr>
        <w:t xml:space="preserve">Sr. </w:t>
      </w:r>
      <w:r w:rsidRPr="00151564">
        <w:rPr>
          <w:sz w:val="22"/>
          <w:szCs w:val="22"/>
        </w:rPr>
        <w:t xml:space="preserve">Associate Dean, Graduate Medical Education. Reference HS Policy 16.0 for additional information. </w:t>
      </w:r>
    </w:p>
    <w:p w:rsidR="000F3B0D" w:rsidRPr="00151564" w:rsidRDefault="000F3B0D" w:rsidP="000F3B0D">
      <w:pPr>
        <w:pStyle w:val="Heading2"/>
        <w:rPr>
          <w:rFonts w:ascii="Times New Roman" w:hAnsi="Times New Roman"/>
          <w:sz w:val="22"/>
          <w:szCs w:val="22"/>
        </w:rPr>
      </w:pPr>
      <w:r w:rsidRPr="00151564">
        <w:rPr>
          <w:rFonts w:ascii="Times New Roman" w:hAnsi="Times New Roman"/>
          <w:sz w:val="22"/>
          <w:szCs w:val="22"/>
        </w:rPr>
        <w:t xml:space="preserve">Georgia Medical Licensure </w:t>
      </w:r>
    </w:p>
    <w:p w:rsidR="000F3B0D" w:rsidRPr="00151564" w:rsidRDefault="000F3B0D" w:rsidP="000F3B0D">
      <w:pPr>
        <w:pStyle w:val="BodyText"/>
        <w:rPr>
          <w:sz w:val="22"/>
          <w:szCs w:val="22"/>
        </w:rPr>
      </w:pPr>
      <w:r w:rsidRPr="00151564">
        <w:rPr>
          <w:sz w:val="22"/>
          <w:szCs w:val="22"/>
        </w:rPr>
        <w:t xml:space="preserve">A House Officer’s contract is contingent upon being able to practice medicine in Georgia. All House Officer’s must have either a temporary  Residency Training Permit (RTP), or an unrestricted Georgia Medical license to practice medicine, issued by the Composite State Medical Education Board of Medical Examiners. </w:t>
      </w:r>
      <w:r w:rsidRPr="00151564">
        <w:rPr>
          <w:i/>
          <w:iCs/>
          <w:sz w:val="22"/>
          <w:szCs w:val="22"/>
        </w:rPr>
        <w:t xml:space="preserve">Note: </w:t>
      </w:r>
      <w:r w:rsidRPr="00151564">
        <w:rPr>
          <w:sz w:val="22"/>
          <w:szCs w:val="22"/>
        </w:rPr>
        <w:t xml:space="preserve">You cannot moonlight or practice medicine outside of a Residency Program without a full, regular license from the Georgia Composite State Board of Medical Examiners. </w:t>
      </w:r>
    </w:p>
    <w:p w:rsidR="000F3B0D" w:rsidRPr="00151564" w:rsidRDefault="000F3B0D" w:rsidP="000F3B0D">
      <w:pPr>
        <w:pStyle w:val="Heading2"/>
        <w:rPr>
          <w:rFonts w:ascii="Times New Roman" w:hAnsi="Times New Roman"/>
          <w:sz w:val="22"/>
          <w:szCs w:val="22"/>
        </w:rPr>
      </w:pPr>
      <w:r w:rsidRPr="00151564">
        <w:rPr>
          <w:rFonts w:ascii="Times New Roman" w:hAnsi="Times New Roman"/>
          <w:sz w:val="22"/>
          <w:szCs w:val="22"/>
        </w:rPr>
        <w:t xml:space="preserve">Professional Liability </w:t>
      </w:r>
    </w:p>
    <w:p w:rsidR="000F3B0D" w:rsidRPr="00151564" w:rsidRDefault="000F3B0D" w:rsidP="000F3B0D">
      <w:pPr>
        <w:pStyle w:val="BodyText"/>
        <w:rPr>
          <w:sz w:val="22"/>
          <w:szCs w:val="22"/>
        </w:rPr>
      </w:pPr>
      <w:r w:rsidRPr="00151564">
        <w:rPr>
          <w:sz w:val="22"/>
          <w:szCs w:val="22"/>
        </w:rPr>
        <w:t xml:space="preserve">Coverage is provided by Georgia </w:t>
      </w:r>
      <w:r w:rsidR="002D5CF2">
        <w:rPr>
          <w:sz w:val="22"/>
          <w:szCs w:val="22"/>
        </w:rPr>
        <w:t>Regents</w:t>
      </w:r>
      <w:r w:rsidRPr="00151564">
        <w:rPr>
          <w:sz w:val="22"/>
          <w:szCs w:val="22"/>
        </w:rPr>
        <w:t xml:space="preserve"> University for activities within the scope of the Training Program. Coverage is contingent upon the terms of those policies, and upon the House Officer’s cooperation and assistance in reporting, investigating, and defending any claim or potential claim. Call Legal Office at 706 721-4018 for additional information. </w:t>
      </w:r>
    </w:p>
    <w:p w:rsidR="000F3B0D" w:rsidRPr="00151564" w:rsidRDefault="000F3B0D" w:rsidP="000F3B0D">
      <w:pPr>
        <w:pStyle w:val="Heading2"/>
        <w:rPr>
          <w:rFonts w:ascii="Times New Roman" w:hAnsi="Times New Roman"/>
          <w:sz w:val="22"/>
          <w:szCs w:val="22"/>
        </w:rPr>
      </w:pPr>
      <w:r w:rsidRPr="00151564">
        <w:rPr>
          <w:rFonts w:ascii="Times New Roman" w:hAnsi="Times New Roman"/>
          <w:sz w:val="22"/>
          <w:szCs w:val="22"/>
        </w:rPr>
        <w:t xml:space="preserve">Time Off </w:t>
      </w:r>
    </w:p>
    <w:p w:rsidR="000F3B0D" w:rsidRPr="00151564" w:rsidRDefault="000F3B0D" w:rsidP="000F3B0D">
      <w:pPr>
        <w:pStyle w:val="BodyText"/>
        <w:rPr>
          <w:sz w:val="22"/>
          <w:szCs w:val="22"/>
        </w:rPr>
      </w:pPr>
      <w:r w:rsidRPr="00151564">
        <w:rPr>
          <w:sz w:val="22"/>
          <w:szCs w:val="22"/>
        </w:rPr>
        <w:t xml:space="preserve">Each House Officer is allowed 21 days annual leave based on the contract date of the contract. The 21 days annual leave, to be taken in 7 day blocks unless otherwise approved by the Program Director. Annual leave </w:t>
      </w:r>
      <w:r w:rsidRPr="007F39EA">
        <w:rPr>
          <w:i/>
          <w:sz w:val="22"/>
          <w:szCs w:val="22"/>
        </w:rPr>
        <w:t>does not</w:t>
      </w:r>
      <w:r w:rsidRPr="00151564">
        <w:rPr>
          <w:sz w:val="22"/>
          <w:szCs w:val="22"/>
        </w:rPr>
        <w:t xml:space="preserve"> accrue from year to year. Educational leave for meetings and courses is at the discretion of the Program Director and is in addition to annual leave. </w:t>
      </w:r>
    </w:p>
    <w:p w:rsidR="000F3B0D" w:rsidRPr="00151564" w:rsidRDefault="000F3B0D" w:rsidP="000F3B0D">
      <w:pPr>
        <w:pStyle w:val="BodyText"/>
        <w:rPr>
          <w:sz w:val="22"/>
          <w:szCs w:val="22"/>
        </w:rPr>
      </w:pPr>
      <w:r w:rsidRPr="00151564">
        <w:rPr>
          <w:sz w:val="22"/>
          <w:szCs w:val="22"/>
        </w:rPr>
        <w:t xml:space="preserve">House Officer’s are allocated 14 days per contract date for sick leave, and may accrue to a maximum of 21 days. Seven (7) days sick leave may carry over after the first year Reference HS Policy 4.0 </w:t>
      </w:r>
    </w:p>
    <w:p w:rsidR="000F3B0D" w:rsidRPr="00151564" w:rsidRDefault="000F3B0D" w:rsidP="000F3B0D">
      <w:pPr>
        <w:pStyle w:val="Heading2"/>
        <w:rPr>
          <w:rFonts w:ascii="Times New Roman" w:hAnsi="Times New Roman"/>
          <w:sz w:val="22"/>
          <w:szCs w:val="22"/>
        </w:rPr>
      </w:pPr>
      <w:r w:rsidRPr="00151564">
        <w:rPr>
          <w:rFonts w:ascii="Times New Roman" w:hAnsi="Times New Roman"/>
          <w:sz w:val="22"/>
          <w:szCs w:val="22"/>
        </w:rPr>
        <w:t xml:space="preserve">Other Benefits </w:t>
      </w:r>
    </w:p>
    <w:p w:rsidR="000F3B0D" w:rsidRPr="00151564" w:rsidRDefault="000F3B0D" w:rsidP="000F3B0D">
      <w:pPr>
        <w:pStyle w:val="BodyText"/>
        <w:rPr>
          <w:sz w:val="22"/>
          <w:szCs w:val="22"/>
        </w:rPr>
      </w:pPr>
      <w:r w:rsidRPr="00151564">
        <w:rPr>
          <w:sz w:val="22"/>
          <w:szCs w:val="22"/>
        </w:rPr>
        <w:t xml:space="preserve">House Officer benefits include group health insurance for the House Officer, malpractice insurance, group life insurance, disability insurance, lab coats and laundering (some Programs) and parking. Dental insurance, health insurance for the House Officer’s family and additional life insurance are available at an additional cost. </w:t>
      </w:r>
    </w:p>
    <w:p w:rsidR="000F3B0D" w:rsidRPr="00151564" w:rsidRDefault="000F3B0D" w:rsidP="000F3B0D">
      <w:pPr>
        <w:pStyle w:val="BodyText"/>
        <w:rPr>
          <w:sz w:val="22"/>
          <w:szCs w:val="22"/>
        </w:rPr>
      </w:pPr>
      <w:r w:rsidRPr="00151564">
        <w:rPr>
          <w:sz w:val="22"/>
          <w:szCs w:val="22"/>
        </w:rPr>
        <w:lastRenderedPageBreak/>
        <w:t xml:space="preserve">Health Care Insurance Plans and Dental Insurance Plans see: </w:t>
      </w:r>
    </w:p>
    <w:p w:rsidR="00342940" w:rsidRDefault="000F3B0D" w:rsidP="00342940">
      <w:pPr>
        <w:rPr>
          <w:rFonts w:ascii="Times New Roman" w:hAnsi="Times New Roman" w:cs="Times New Roman"/>
          <w:color w:val="000000"/>
        </w:rPr>
      </w:pPr>
      <w:r w:rsidRPr="00151564">
        <w:rPr>
          <w:rFonts w:ascii="Times New Roman" w:hAnsi="Times New Roman" w:cs="Times New Roman"/>
          <w:color w:val="000000"/>
        </w:rPr>
        <w:t>• Benefit Plan summary</w:t>
      </w:r>
    </w:p>
    <w:p w:rsidR="00342940" w:rsidRPr="00342940" w:rsidRDefault="000F3B0D" w:rsidP="00342940">
      <w:pPr>
        <w:rPr>
          <w:color w:val="0000FF"/>
        </w:rPr>
      </w:pPr>
      <w:r w:rsidRPr="00151564">
        <w:rPr>
          <w:rFonts w:ascii="Times New Roman" w:hAnsi="Times New Roman" w:cs="Times New Roman"/>
          <w:color w:val="000000"/>
        </w:rPr>
        <w:t xml:space="preserve"> </w:t>
      </w:r>
      <w:r w:rsidR="00342940" w:rsidRPr="00342940">
        <w:rPr>
          <w:color w:val="0000FF"/>
        </w:rPr>
        <w:t>http://www.gru.edu/hr/benefits/university_benefits/university_benefits.php</w:t>
      </w:r>
    </w:p>
    <w:p w:rsidR="000F3B0D" w:rsidRPr="00151564" w:rsidRDefault="000F3B0D" w:rsidP="00342940">
      <w:pPr>
        <w:pStyle w:val="ListBullet"/>
        <w:rPr>
          <w:rFonts w:ascii="Times New Roman" w:hAnsi="Times New Roman" w:cs="Times New Roman"/>
          <w:sz w:val="22"/>
          <w:szCs w:val="22"/>
        </w:rPr>
      </w:pPr>
      <w:r w:rsidRPr="00151564">
        <w:rPr>
          <w:rFonts w:ascii="Times New Roman" w:hAnsi="Times New Roman" w:cs="Times New Roman"/>
          <w:color w:val="000000"/>
          <w:sz w:val="22"/>
          <w:szCs w:val="22"/>
        </w:rPr>
        <w:t xml:space="preserve">• PPO Provider Directory </w:t>
      </w:r>
      <w:r w:rsidRPr="00151564">
        <w:rPr>
          <w:rFonts w:ascii="Times New Roman" w:hAnsi="Times New Roman" w:cs="Times New Roman"/>
          <w:sz w:val="22"/>
          <w:szCs w:val="22"/>
        </w:rPr>
        <w:t xml:space="preserve">www.healthygeorgia.com </w:t>
      </w:r>
    </w:p>
    <w:p w:rsidR="000F3B0D" w:rsidRPr="00151564" w:rsidRDefault="000F3B0D" w:rsidP="000F3B0D">
      <w:pPr>
        <w:pStyle w:val="BodyText"/>
        <w:rPr>
          <w:sz w:val="22"/>
          <w:szCs w:val="22"/>
        </w:rPr>
      </w:pPr>
    </w:p>
    <w:p w:rsidR="000F3B0D" w:rsidRPr="00151564" w:rsidRDefault="000F3B0D" w:rsidP="000F3B0D">
      <w:pPr>
        <w:pStyle w:val="BodyText"/>
        <w:rPr>
          <w:sz w:val="22"/>
          <w:szCs w:val="22"/>
        </w:rPr>
      </w:pPr>
      <w:r w:rsidRPr="00151564">
        <w:rPr>
          <w:sz w:val="22"/>
          <w:szCs w:val="22"/>
        </w:rPr>
        <w:t xml:space="preserve">For more information, call the </w:t>
      </w:r>
      <w:r w:rsidR="002D5CF2">
        <w:rPr>
          <w:sz w:val="22"/>
          <w:szCs w:val="22"/>
        </w:rPr>
        <w:t>GRU</w:t>
      </w:r>
      <w:r w:rsidRPr="00151564">
        <w:rPr>
          <w:sz w:val="22"/>
          <w:szCs w:val="22"/>
        </w:rPr>
        <w:t xml:space="preserve"> Benefits section at 706 721-3770 </w:t>
      </w:r>
    </w:p>
    <w:p w:rsidR="000F3B0D" w:rsidRPr="00151564" w:rsidRDefault="000F3B0D" w:rsidP="000F3B0D">
      <w:pPr>
        <w:pStyle w:val="BodyText"/>
        <w:rPr>
          <w:sz w:val="22"/>
          <w:szCs w:val="22"/>
        </w:rPr>
      </w:pPr>
      <w:r w:rsidRPr="00151564">
        <w:rPr>
          <w:sz w:val="22"/>
          <w:szCs w:val="22"/>
        </w:rPr>
        <w:t xml:space="preserve">Your employment is contingent upon meeting </w:t>
      </w:r>
      <w:r w:rsidRPr="00151564">
        <w:rPr>
          <w:i/>
          <w:iCs/>
          <w:sz w:val="22"/>
          <w:szCs w:val="22"/>
        </w:rPr>
        <w:t xml:space="preserve">all employment guidelines </w:t>
      </w:r>
      <w:r w:rsidRPr="00151564">
        <w:rPr>
          <w:sz w:val="22"/>
          <w:szCs w:val="22"/>
        </w:rPr>
        <w:t xml:space="preserve">for Georgia </w:t>
      </w:r>
      <w:r w:rsidR="002D5CF2">
        <w:rPr>
          <w:sz w:val="22"/>
          <w:szCs w:val="22"/>
        </w:rPr>
        <w:t>Regents</w:t>
      </w:r>
      <w:r w:rsidRPr="00151564">
        <w:rPr>
          <w:sz w:val="22"/>
          <w:szCs w:val="22"/>
        </w:rPr>
        <w:t xml:space="preserve"> University and MCG Health System, Inc., Policies and Procedures for these Institutions may be found at:</w:t>
      </w:r>
      <w:r w:rsidR="00342940" w:rsidRPr="00342940">
        <w:t xml:space="preserve"> </w:t>
      </w:r>
      <w:bookmarkStart w:id="0" w:name="_GoBack"/>
      <w:r w:rsidR="00342940" w:rsidRPr="00342940">
        <w:rPr>
          <w:color w:val="0000FF"/>
          <w:sz w:val="22"/>
          <w:szCs w:val="22"/>
        </w:rPr>
        <w:t>http://gru.edu/hr/gru-employee-manual.pdf</w:t>
      </w:r>
      <w:r w:rsidRPr="00342940">
        <w:rPr>
          <w:color w:val="0000FF"/>
          <w:sz w:val="22"/>
          <w:szCs w:val="22"/>
        </w:rPr>
        <w:t xml:space="preserve"> </w:t>
      </w:r>
      <w:bookmarkEnd w:id="0"/>
    </w:p>
    <w:p w:rsidR="000F3B0D" w:rsidRPr="00151564" w:rsidRDefault="000F3B0D" w:rsidP="000F3B0D"/>
    <w:p w:rsidR="000F3B0D" w:rsidRDefault="000F3B0D" w:rsidP="000F3B0D">
      <w:r w:rsidRPr="00151564">
        <w:rPr>
          <w:b/>
          <w:u w:val="single"/>
        </w:rPr>
        <w:t xml:space="preserve">       </w:t>
      </w:r>
      <w:r>
        <w:rPr>
          <w:b/>
          <w:u w:val="single"/>
        </w:rPr>
        <w:t xml:space="preserve">                                                                                                                                                                           </w:t>
      </w:r>
    </w:p>
    <w:p w:rsidR="004E7DEE" w:rsidRDefault="004E7DEE" w:rsidP="004E7DEE"/>
    <w:p w:rsidR="003A03AD" w:rsidRPr="003A03AD" w:rsidRDefault="003A03AD" w:rsidP="003A03AD">
      <w:pPr>
        <w:widowControl w:val="0"/>
        <w:spacing w:line="360" w:lineRule="auto"/>
        <w:rPr>
          <w:b/>
          <w:u w:val="single"/>
        </w:rPr>
      </w:pPr>
      <w:r>
        <w:rPr>
          <w:b/>
          <w:u w:val="single"/>
        </w:rPr>
        <w:t xml:space="preserve">                                                                                                                                                                                                                                                                                                                                                                                    </w:t>
      </w:r>
    </w:p>
    <w:sectPr w:rsidR="003A03AD" w:rsidRPr="003A03AD" w:rsidSect="003A03A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5A"/>
    <w:rsid w:val="0004659E"/>
    <w:rsid w:val="000F3B0D"/>
    <w:rsid w:val="00100481"/>
    <w:rsid w:val="00122A6A"/>
    <w:rsid w:val="00164119"/>
    <w:rsid w:val="002D5CF2"/>
    <w:rsid w:val="00342940"/>
    <w:rsid w:val="00381521"/>
    <w:rsid w:val="003A03AD"/>
    <w:rsid w:val="003E72B4"/>
    <w:rsid w:val="00404BD7"/>
    <w:rsid w:val="00462B75"/>
    <w:rsid w:val="004E1E35"/>
    <w:rsid w:val="004E7DEE"/>
    <w:rsid w:val="00513D68"/>
    <w:rsid w:val="00517465"/>
    <w:rsid w:val="00685AF1"/>
    <w:rsid w:val="006C6F9D"/>
    <w:rsid w:val="00812BED"/>
    <w:rsid w:val="00A4023C"/>
    <w:rsid w:val="00A50534"/>
    <w:rsid w:val="00AA1246"/>
    <w:rsid w:val="00AA7381"/>
    <w:rsid w:val="00AF3F8B"/>
    <w:rsid w:val="00B5604B"/>
    <w:rsid w:val="00B74124"/>
    <w:rsid w:val="00BA20AA"/>
    <w:rsid w:val="00BC5BCF"/>
    <w:rsid w:val="00D605E1"/>
    <w:rsid w:val="00D7436E"/>
    <w:rsid w:val="00DD4434"/>
    <w:rsid w:val="00E63BC3"/>
    <w:rsid w:val="00E6757E"/>
    <w:rsid w:val="00F35AC0"/>
    <w:rsid w:val="00F43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F262D-EDB8-4505-906A-0A15B698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F3B0D"/>
    <w:pPr>
      <w:widowControl w:val="0"/>
      <w:autoSpaceDE w:val="0"/>
      <w:autoSpaceDN w:val="0"/>
      <w:adjustRightInd w:val="0"/>
      <w:spacing w:after="240" w:line="240" w:lineRule="auto"/>
      <w:jc w:val="center"/>
      <w:outlineLvl w:val="0"/>
    </w:pPr>
    <w:rPr>
      <w:rFonts w:ascii="Book Antiqua" w:eastAsia="Times New Roman" w:hAnsi="Book Antiqua" w:cs="Book Antiqua"/>
      <w:b/>
      <w:bCs/>
      <w:sz w:val="24"/>
      <w:szCs w:val="24"/>
    </w:rPr>
  </w:style>
  <w:style w:type="paragraph" w:styleId="Heading2">
    <w:name w:val="heading 2"/>
    <w:basedOn w:val="Normal"/>
    <w:next w:val="Normal"/>
    <w:link w:val="Heading2Char"/>
    <w:unhideWhenUsed/>
    <w:qFormat/>
    <w:rsid w:val="000F3B0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A5A"/>
    <w:rPr>
      <w:rFonts w:ascii="Tahoma" w:hAnsi="Tahoma" w:cs="Tahoma"/>
      <w:sz w:val="16"/>
      <w:szCs w:val="16"/>
    </w:rPr>
  </w:style>
  <w:style w:type="paragraph" w:styleId="NoSpacing">
    <w:name w:val="No Spacing"/>
    <w:uiPriority w:val="1"/>
    <w:qFormat/>
    <w:rsid w:val="003A03AD"/>
    <w:pPr>
      <w:spacing w:after="0" w:line="240" w:lineRule="auto"/>
    </w:pPr>
  </w:style>
  <w:style w:type="character" w:styleId="Hyperlink">
    <w:name w:val="Hyperlink"/>
    <w:basedOn w:val="DefaultParagraphFont"/>
    <w:uiPriority w:val="99"/>
    <w:unhideWhenUsed/>
    <w:rsid w:val="003A03AD"/>
    <w:rPr>
      <w:color w:val="0000FF" w:themeColor="hyperlink"/>
      <w:u w:val="single"/>
    </w:rPr>
  </w:style>
  <w:style w:type="character" w:customStyle="1" w:styleId="Heading1Char">
    <w:name w:val="Heading 1 Char"/>
    <w:basedOn w:val="DefaultParagraphFont"/>
    <w:link w:val="Heading1"/>
    <w:rsid w:val="000F3B0D"/>
    <w:rPr>
      <w:rFonts w:ascii="Book Antiqua" w:eastAsia="Times New Roman" w:hAnsi="Book Antiqua" w:cs="Book Antiqua"/>
      <w:b/>
      <w:bCs/>
      <w:sz w:val="24"/>
      <w:szCs w:val="24"/>
    </w:rPr>
  </w:style>
  <w:style w:type="character" w:customStyle="1" w:styleId="Heading2Char">
    <w:name w:val="Heading 2 Char"/>
    <w:basedOn w:val="DefaultParagraphFont"/>
    <w:link w:val="Heading2"/>
    <w:rsid w:val="000F3B0D"/>
    <w:rPr>
      <w:rFonts w:ascii="Cambria" w:eastAsia="Times New Roman" w:hAnsi="Cambria" w:cs="Times New Roman"/>
      <w:b/>
      <w:bCs/>
      <w:i/>
      <w:iCs/>
      <w:sz w:val="28"/>
      <w:szCs w:val="28"/>
    </w:rPr>
  </w:style>
  <w:style w:type="paragraph" w:styleId="BodyText">
    <w:name w:val="Body Text"/>
    <w:basedOn w:val="Normal"/>
    <w:link w:val="BodyTextChar"/>
    <w:rsid w:val="000F3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3B0D"/>
    <w:rPr>
      <w:rFonts w:ascii="Times New Roman" w:eastAsia="Times New Roman" w:hAnsi="Times New Roman" w:cs="Times New Roman"/>
      <w:sz w:val="24"/>
      <w:szCs w:val="24"/>
    </w:rPr>
  </w:style>
  <w:style w:type="paragraph" w:styleId="ListBullet">
    <w:name w:val="List Bullet"/>
    <w:basedOn w:val="Normal"/>
    <w:next w:val="Normal"/>
    <w:rsid w:val="000F3B0D"/>
    <w:pPr>
      <w:widowControl w:val="0"/>
      <w:autoSpaceDE w:val="0"/>
      <w:autoSpaceDN w:val="0"/>
      <w:adjustRightInd w:val="0"/>
      <w:spacing w:after="0" w:line="240" w:lineRule="auto"/>
    </w:pPr>
    <w:rPr>
      <w:rFonts w:ascii="Book Antiqua" w:eastAsia="Times New Roman" w:hAnsi="Book Antiqua" w:cs="Book Antiqua"/>
      <w:sz w:val="24"/>
      <w:szCs w:val="24"/>
    </w:rPr>
  </w:style>
  <w:style w:type="character" w:styleId="FollowedHyperlink">
    <w:name w:val="FollowedHyperlink"/>
    <w:basedOn w:val="DefaultParagraphFont"/>
    <w:uiPriority w:val="99"/>
    <w:semiHidden/>
    <w:unhideWhenUsed/>
    <w:rsid w:val="002D5C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 Erica C.</dc:creator>
  <cp:keywords/>
  <dc:description/>
  <cp:lastModifiedBy>Bass, Erica C.</cp:lastModifiedBy>
  <cp:revision>2</cp:revision>
  <cp:lastPrinted>2013-01-22T20:03:00Z</cp:lastPrinted>
  <dcterms:created xsi:type="dcterms:W3CDTF">2015-08-27T16:53:00Z</dcterms:created>
  <dcterms:modified xsi:type="dcterms:W3CDTF">2015-08-27T16:53:00Z</dcterms:modified>
</cp:coreProperties>
</file>