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2A7" w:rsidRDefault="00ED1768" w:rsidP="00DA12A7">
      <w:pPr>
        <w:spacing w:after="0" w:line="240" w:lineRule="auto"/>
        <w:jc w:val="center"/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t>Laboratory</w:t>
      </w:r>
      <w:r w:rsidR="002D2D13">
        <w:rPr>
          <w:rFonts w:ascii="Arial" w:hAnsi="Arial" w:cs="Arial"/>
          <w:b/>
          <w:sz w:val="32"/>
          <w:szCs w:val="36"/>
        </w:rPr>
        <w:t xml:space="preserve"> </w:t>
      </w:r>
      <w:r w:rsidR="00C348C5" w:rsidRPr="005B46DD">
        <w:rPr>
          <w:rFonts w:ascii="Arial" w:hAnsi="Arial" w:cs="Arial"/>
          <w:b/>
          <w:sz w:val="32"/>
          <w:szCs w:val="36"/>
        </w:rPr>
        <w:t>Standard Operating Procedure (SOP)</w:t>
      </w:r>
    </w:p>
    <w:p w:rsidR="00DA12A7" w:rsidRDefault="00DA12A7" w:rsidP="00DA12A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3060"/>
        <w:gridCol w:w="1530"/>
        <w:gridCol w:w="1525"/>
      </w:tblGrid>
      <w:tr w:rsidR="00EA1F5D" w:rsidRPr="00847545" w:rsidTr="00EA1F5D">
        <w:tc>
          <w:tcPr>
            <w:tcW w:w="9350" w:type="dxa"/>
            <w:gridSpan w:val="4"/>
            <w:shd w:val="clear" w:color="auto" w:fill="0070C0"/>
            <w:vAlign w:val="center"/>
          </w:tcPr>
          <w:p w:rsidR="00EA1F5D" w:rsidRPr="00847545" w:rsidRDefault="00EA1F5D" w:rsidP="00DA12A7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847545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Principal Investigator</w:t>
            </w:r>
          </w:p>
        </w:tc>
      </w:tr>
      <w:tr w:rsidR="00EA1F5D" w:rsidRPr="00847545" w:rsidTr="00EA1F5D">
        <w:tc>
          <w:tcPr>
            <w:tcW w:w="9350" w:type="dxa"/>
            <w:gridSpan w:val="4"/>
            <w:shd w:val="clear" w:color="auto" w:fill="auto"/>
            <w:vAlign w:val="center"/>
          </w:tcPr>
          <w:p w:rsidR="00EA1F5D" w:rsidRPr="00847545" w:rsidRDefault="00EA1F5D" w:rsidP="00DA12A7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A1F5D" w:rsidRPr="00847545" w:rsidTr="00827CC8">
        <w:tc>
          <w:tcPr>
            <w:tcW w:w="9350" w:type="dxa"/>
            <w:gridSpan w:val="4"/>
            <w:shd w:val="clear" w:color="auto" w:fill="0070C0"/>
            <w:vAlign w:val="center"/>
          </w:tcPr>
          <w:p w:rsidR="00EA1F5D" w:rsidRPr="00847545" w:rsidRDefault="00EA1F5D" w:rsidP="00EA1F5D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7545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Locations (building codes &amp; room numbers)</w:t>
            </w:r>
          </w:p>
        </w:tc>
      </w:tr>
      <w:tr w:rsidR="00EA1F5D" w:rsidRPr="00847545" w:rsidTr="00EA1F5D">
        <w:tc>
          <w:tcPr>
            <w:tcW w:w="9350" w:type="dxa"/>
            <w:gridSpan w:val="4"/>
            <w:shd w:val="clear" w:color="auto" w:fill="auto"/>
            <w:vAlign w:val="center"/>
          </w:tcPr>
          <w:p w:rsidR="00EA1F5D" w:rsidRPr="00847545" w:rsidRDefault="00EA1F5D" w:rsidP="00DA12A7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A1F5D" w:rsidRPr="00847545" w:rsidTr="00EA1F5D">
        <w:tc>
          <w:tcPr>
            <w:tcW w:w="9350" w:type="dxa"/>
            <w:gridSpan w:val="4"/>
            <w:shd w:val="clear" w:color="auto" w:fill="0070C0"/>
            <w:vAlign w:val="center"/>
          </w:tcPr>
          <w:p w:rsidR="00EA1F5D" w:rsidRPr="00847545" w:rsidRDefault="00EA1F5D" w:rsidP="00EA1F5D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847545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Phone numbers to reach PI in case of emergency</w:t>
            </w:r>
          </w:p>
        </w:tc>
      </w:tr>
      <w:tr w:rsidR="00EA1F5D" w:rsidRPr="00847545" w:rsidTr="00EA1F5D">
        <w:trPr>
          <w:trHeight w:val="294"/>
        </w:trPr>
        <w:tc>
          <w:tcPr>
            <w:tcW w:w="3235" w:type="dxa"/>
          </w:tcPr>
          <w:p w:rsidR="00EA1F5D" w:rsidRPr="00847545" w:rsidRDefault="00EA1F5D" w:rsidP="00EA1F5D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75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Main number</w:t>
            </w:r>
          </w:p>
        </w:tc>
        <w:tc>
          <w:tcPr>
            <w:tcW w:w="3060" w:type="dxa"/>
          </w:tcPr>
          <w:p w:rsidR="00EA1F5D" w:rsidRPr="00847545" w:rsidRDefault="00EA1F5D" w:rsidP="00EA1F5D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75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Mobile number</w:t>
            </w:r>
          </w:p>
        </w:tc>
        <w:tc>
          <w:tcPr>
            <w:tcW w:w="3055" w:type="dxa"/>
            <w:gridSpan w:val="2"/>
          </w:tcPr>
          <w:p w:rsidR="00EA1F5D" w:rsidRPr="00847545" w:rsidRDefault="00EA1F5D" w:rsidP="00EA1F5D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75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Alternate number</w:t>
            </w:r>
          </w:p>
        </w:tc>
      </w:tr>
      <w:tr w:rsidR="00EA1F5D" w:rsidRPr="00847545" w:rsidTr="00EA1F5D">
        <w:trPr>
          <w:trHeight w:val="313"/>
        </w:trPr>
        <w:tc>
          <w:tcPr>
            <w:tcW w:w="3235" w:type="dxa"/>
            <w:vAlign w:val="center"/>
          </w:tcPr>
          <w:p w:rsidR="00EA1F5D" w:rsidRPr="00847545" w:rsidRDefault="00EA1F5D" w:rsidP="00EA1F5D">
            <w:pPr>
              <w:pStyle w:val="NormalWeb"/>
              <w:spacing w:before="60" w:beforeAutospacing="0" w:after="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EA1F5D" w:rsidRPr="00847545" w:rsidRDefault="00EA1F5D" w:rsidP="00EA1F5D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gridSpan w:val="2"/>
            <w:vAlign w:val="center"/>
          </w:tcPr>
          <w:p w:rsidR="00EA1F5D" w:rsidRPr="00847545" w:rsidRDefault="00EA1F5D" w:rsidP="00EA1F5D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A1F5D" w:rsidRPr="00847545" w:rsidTr="00EA1F5D">
        <w:trPr>
          <w:trHeight w:val="410"/>
        </w:trPr>
        <w:tc>
          <w:tcPr>
            <w:tcW w:w="9350" w:type="dxa"/>
            <w:gridSpan w:val="4"/>
            <w:shd w:val="clear" w:color="auto" w:fill="0070C0"/>
            <w:vAlign w:val="center"/>
          </w:tcPr>
          <w:p w:rsidR="00EA1F5D" w:rsidRPr="00847545" w:rsidRDefault="00EA1F5D" w:rsidP="00EA1F5D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47545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IBC approved disinfectants (agents treated with the same disinfectant can be listed together)</w:t>
            </w:r>
          </w:p>
        </w:tc>
      </w:tr>
      <w:tr w:rsidR="00EA1F5D" w:rsidRPr="00847545" w:rsidTr="00847545">
        <w:trPr>
          <w:trHeight w:val="410"/>
        </w:trPr>
        <w:tc>
          <w:tcPr>
            <w:tcW w:w="3235" w:type="dxa"/>
            <w:vAlign w:val="center"/>
          </w:tcPr>
          <w:p w:rsidR="00EA1F5D" w:rsidRPr="00847545" w:rsidRDefault="00EA1F5D" w:rsidP="00EA1F5D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4754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Biological agents</w:t>
            </w:r>
          </w:p>
        </w:tc>
        <w:tc>
          <w:tcPr>
            <w:tcW w:w="3060" w:type="dxa"/>
            <w:vAlign w:val="center"/>
          </w:tcPr>
          <w:p w:rsidR="00EA1F5D" w:rsidRPr="00847545" w:rsidRDefault="00EA1F5D" w:rsidP="00EA1F5D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4754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Disinfectant</w:t>
            </w:r>
          </w:p>
        </w:tc>
        <w:tc>
          <w:tcPr>
            <w:tcW w:w="1530" w:type="dxa"/>
            <w:vAlign w:val="center"/>
          </w:tcPr>
          <w:p w:rsidR="00EA1F5D" w:rsidRPr="00847545" w:rsidRDefault="00EA1F5D" w:rsidP="00EA1F5D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4754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Concentration</w:t>
            </w:r>
          </w:p>
        </w:tc>
        <w:tc>
          <w:tcPr>
            <w:tcW w:w="1525" w:type="dxa"/>
            <w:vAlign w:val="center"/>
          </w:tcPr>
          <w:p w:rsidR="00EA1F5D" w:rsidRPr="00847545" w:rsidRDefault="00EA1F5D" w:rsidP="00EA1F5D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4754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Contact Time</w:t>
            </w:r>
          </w:p>
        </w:tc>
      </w:tr>
      <w:tr w:rsidR="00EA1F5D" w:rsidRPr="00847545" w:rsidTr="00847545">
        <w:trPr>
          <w:trHeight w:val="410"/>
        </w:trPr>
        <w:tc>
          <w:tcPr>
            <w:tcW w:w="3235" w:type="dxa"/>
            <w:vAlign w:val="center"/>
          </w:tcPr>
          <w:p w:rsidR="00EA1F5D" w:rsidRPr="00847545" w:rsidRDefault="00EA1F5D" w:rsidP="00EA1F5D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EA1F5D" w:rsidRPr="00847545" w:rsidRDefault="00EA1F5D" w:rsidP="00EA1F5D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EA1F5D" w:rsidRPr="00847545" w:rsidRDefault="00EA1F5D" w:rsidP="00EA1F5D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EA1F5D" w:rsidRPr="00847545" w:rsidRDefault="00EA1F5D" w:rsidP="00EA1F5D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A1F5D" w:rsidRPr="00847545" w:rsidTr="00847545">
        <w:trPr>
          <w:trHeight w:val="410"/>
        </w:trPr>
        <w:tc>
          <w:tcPr>
            <w:tcW w:w="3235" w:type="dxa"/>
            <w:vAlign w:val="center"/>
          </w:tcPr>
          <w:p w:rsidR="00EA1F5D" w:rsidRPr="00847545" w:rsidRDefault="00EA1F5D" w:rsidP="00EA1F5D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EA1F5D" w:rsidRPr="00847545" w:rsidRDefault="00EA1F5D" w:rsidP="00EA1F5D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EA1F5D" w:rsidRPr="00847545" w:rsidRDefault="00EA1F5D" w:rsidP="00EA1F5D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EA1F5D" w:rsidRPr="00847545" w:rsidRDefault="00EA1F5D" w:rsidP="00EA1F5D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A1F5D" w:rsidRPr="00847545" w:rsidTr="00847545">
        <w:trPr>
          <w:trHeight w:val="410"/>
        </w:trPr>
        <w:tc>
          <w:tcPr>
            <w:tcW w:w="3235" w:type="dxa"/>
            <w:vAlign w:val="center"/>
          </w:tcPr>
          <w:p w:rsidR="00EA1F5D" w:rsidRPr="00847545" w:rsidRDefault="00EA1F5D" w:rsidP="00EA1F5D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EA1F5D" w:rsidRPr="00847545" w:rsidRDefault="00EA1F5D" w:rsidP="00EA1F5D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EA1F5D" w:rsidRPr="00847545" w:rsidRDefault="00EA1F5D" w:rsidP="00EA1F5D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EA1F5D" w:rsidRPr="00847545" w:rsidRDefault="00EA1F5D" w:rsidP="00EA1F5D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DA12A7" w:rsidRDefault="00DA12A7" w:rsidP="00DA12A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A378ED" w:rsidRPr="00C93054" w:rsidRDefault="005B46DD" w:rsidP="00C93054">
      <w:pPr>
        <w:pStyle w:val="NormalWeb"/>
        <w:spacing w:before="0" w:beforeAutospacing="0" w:after="24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Scope: </w:t>
      </w:r>
      <w:r w:rsidR="00C93054">
        <w:rPr>
          <w:rFonts w:ascii="Arial" w:hAnsi="Arial" w:cs="Arial"/>
          <w:bCs/>
          <w:color w:val="000000"/>
        </w:rPr>
        <w:t>t</w:t>
      </w:r>
      <w:r w:rsidR="00584E93">
        <w:rPr>
          <w:rFonts w:ascii="Arial" w:hAnsi="Arial" w:cs="Arial"/>
          <w:bCs/>
          <w:color w:val="000000"/>
        </w:rPr>
        <w:t xml:space="preserve">his SOP is intended for work with </w:t>
      </w:r>
      <w:r w:rsidR="002D2D13">
        <w:rPr>
          <w:rFonts w:ascii="Arial" w:hAnsi="Arial" w:cs="Arial"/>
          <w:bCs/>
          <w:color w:val="000000"/>
        </w:rPr>
        <w:t>biological materials</w:t>
      </w:r>
      <w:r w:rsidR="00ED1768">
        <w:rPr>
          <w:rFonts w:ascii="Arial" w:hAnsi="Arial" w:cs="Arial"/>
          <w:bCs/>
          <w:color w:val="000000"/>
        </w:rPr>
        <w:t xml:space="preserve"> in research laboratories.</w:t>
      </w:r>
    </w:p>
    <w:p w:rsidR="002512B8" w:rsidRDefault="002512B8" w:rsidP="00C93054">
      <w:pPr>
        <w:pStyle w:val="NormalWeb"/>
        <w:spacing w:before="0" w:beforeAutospacing="0" w:after="6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Before beginning work with biological materials:</w:t>
      </w:r>
    </w:p>
    <w:p w:rsidR="002512B8" w:rsidRPr="005B46DD" w:rsidRDefault="002512B8" w:rsidP="00C93054">
      <w:pPr>
        <w:pStyle w:val="NormalWeb"/>
        <w:numPr>
          <w:ilvl w:val="0"/>
          <w:numId w:val="39"/>
        </w:numPr>
        <w:spacing w:before="0" w:beforeAutospacing="0" w:after="60" w:afterAutospacing="0"/>
        <w:rPr>
          <w:rFonts w:ascii="Arial" w:hAnsi="Arial" w:cs="Arial"/>
          <w:color w:val="000000"/>
        </w:rPr>
      </w:pPr>
      <w:r w:rsidRPr="005B46DD">
        <w:rPr>
          <w:rFonts w:ascii="Arial" w:hAnsi="Arial" w:cs="Arial"/>
          <w:color w:val="000000"/>
        </w:rPr>
        <w:t xml:space="preserve">All </w:t>
      </w:r>
      <w:r w:rsidR="00C93054">
        <w:rPr>
          <w:rFonts w:ascii="Arial" w:hAnsi="Arial" w:cs="Arial"/>
          <w:color w:val="000000"/>
        </w:rPr>
        <w:t>research</w:t>
      </w:r>
      <w:r w:rsidRPr="005B46DD">
        <w:rPr>
          <w:rFonts w:ascii="Arial" w:hAnsi="Arial" w:cs="Arial"/>
          <w:color w:val="000000"/>
        </w:rPr>
        <w:t xml:space="preserve"> personnel must </w:t>
      </w:r>
      <w:r w:rsidR="00C93054">
        <w:rPr>
          <w:rFonts w:ascii="Arial" w:hAnsi="Arial" w:cs="Arial"/>
          <w:color w:val="000000"/>
        </w:rPr>
        <w:t xml:space="preserve">be added to the appropriate biosafety protocol (BSP) and must </w:t>
      </w:r>
      <w:r w:rsidRPr="005B46DD">
        <w:rPr>
          <w:rFonts w:ascii="Arial" w:hAnsi="Arial" w:cs="Arial"/>
          <w:color w:val="000000"/>
        </w:rPr>
        <w:t xml:space="preserve">complete Initial </w:t>
      </w:r>
      <w:r>
        <w:rPr>
          <w:rFonts w:ascii="Arial" w:hAnsi="Arial" w:cs="Arial"/>
          <w:color w:val="000000"/>
        </w:rPr>
        <w:t>Bios</w:t>
      </w:r>
      <w:r w:rsidRPr="005B46DD">
        <w:rPr>
          <w:rFonts w:ascii="Arial" w:hAnsi="Arial" w:cs="Arial"/>
          <w:color w:val="000000"/>
        </w:rPr>
        <w:t xml:space="preserve">afety </w:t>
      </w:r>
      <w:r>
        <w:rPr>
          <w:rFonts w:ascii="Arial" w:hAnsi="Arial" w:cs="Arial"/>
          <w:color w:val="000000"/>
        </w:rPr>
        <w:t xml:space="preserve">and Bloodborne Pathogen </w:t>
      </w:r>
      <w:r w:rsidRPr="005B46DD">
        <w:rPr>
          <w:rFonts w:ascii="Arial" w:hAnsi="Arial" w:cs="Arial"/>
          <w:color w:val="000000"/>
        </w:rPr>
        <w:t>Training</w:t>
      </w:r>
      <w:r>
        <w:rPr>
          <w:rFonts w:ascii="Arial" w:hAnsi="Arial" w:cs="Arial"/>
          <w:color w:val="000000"/>
        </w:rPr>
        <w:t>; refresher training must be completed annually.</w:t>
      </w:r>
    </w:p>
    <w:p w:rsidR="00960BCA" w:rsidRDefault="002512B8" w:rsidP="00960BCA">
      <w:pPr>
        <w:pStyle w:val="NormalWeb"/>
        <w:numPr>
          <w:ilvl w:val="0"/>
          <w:numId w:val="39"/>
        </w:numPr>
        <w:spacing w:before="0" w:beforeAutospacing="0" w:after="60" w:afterAutospacing="0"/>
        <w:rPr>
          <w:rFonts w:ascii="Arial" w:hAnsi="Arial" w:cs="Arial"/>
          <w:color w:val="000000"/>
        </w:rPr>
      </w:pPr>
      <w:r w:rsidRPr="005B46DD">
        <w:rPr>
          <w:rFonts w:ascii="Arial" w:hAnsi="Arial" w:cs="Arial"/>
          <w:color w:val="000000"/>
        </w:rPr>
        <w:t xml:space="preserve">All </w:t>
      </w:r>
      <w:r w:rsidR="00C93054">
        <w:rPr>
          <w:rFonts w:ascii="Arial" w:hAnsi="Arial" w:cs="Arial"/>
          <w:color w:val="000000"/>
        </w:rPr>
        <w:t>research personnel</w:t>
      </w:r>
      <w:r w:rsidRPr="005B46DD">
        <w:rPr>
          <w:rFonts w:ascii="Arial" w:hAnsi="Arial" w:cs="Arial"/>
          <w:color w:val="000000"/>
        </w:rPr>
        <w:t xml:space="preserve"> must </w:t>
      </w:r>
      <w:r>
        <w:rPr>
          <w:rFonts w:ascii="Arial" w:hAnsi="Arial" w:cs="Arial"/>
          <w:color w:val="000000"/>
        </w:rPr>
        <w:t xml:space="preserve">obtain clearance from Employee Health and Wellness before working with </w:t>
      </w:r>
      <w:r w:rsidRPr="005B46DD"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</w:rPr>
        <w:t>otentially infectious materials</w:t>
      </w:r>
      <w:r w:rsidRPr="005B46D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(including unfixed human </w:t>
      </w:r>
      <w:r w:rsidRPr="005B46DD">
        <w:rPr>
          <w:rFonts w:ascii="Arial" w:hAnsi="Arial" w:cs="Arial"/>
          <w:color w:val="000000"/>
        </w:rPr>
        <w:t>specimens</w:t>
      </w:r>
      <w:r w:rsidR="00C93054">
        <w:rPr>
          <w:rFonts w:ascii="Arial" w:hAnsi="Arial" w:cs="Arial"/>
          <w:color w:val="000000"/>
        </w:rPr>
        <w:t xml:space="preserve"> or cell lines</w:t>
      </w:r>
      <w:r>
        <w:rPr>
          <w:rFonts w:ascii="Arial" w:hAnsi="Arial" w:cs="Arial"/>
          <w:color w:val="000000"/>
        </w:rPr>
        <w:t>) or with biological toxins</w:t>
      </w:r>
      <w:r w:rsidRPr="005B46DD">
        <w:rPr>
          <w:rFonts w:ascii="Arial" w:hAnsi="Arial" w:cs="Arial"/>
          <w:color w:val="000000"/>
        </w:rPr>
        <w:t>.</w:t>
      </w:r>
    </w:p>
    <w:p w:rsidR="00960BCA" w:rsidRPr="00960BCA" w:rsidRDefault="00960BCA" w:rsidP="00960BCA">
      <w:pPr>
        <w:pStyle w:val="NormalWeb"/>
        <w:numPr>
          <w:ilvl w:val="0"/>
          <w:numId w:val="39"/>
        </w:numPr>
        <w:spacing w:before="0" w:beforeAutospacing="0" w:after="240" w:afterAutospacing="0"/>
        <w:rPr>
          <w:rFonts w:ascii="Arial" w:hAnsi="Arial" w:cs="Arial"/>
          <w:color w:val="000000"/>
        </w:rPr>
      </w:pPr>
      <w:r w:rsidRPr="00960BCA">
        <w:rPr>
          <w:rFonts w:ascii="Arial" w:hAnsi="Arial" w:cs="Arial"/>
          <w:color w:val="000000"/>
        </w:rPr>
        <w:t xml:space="preserve">Research personnel </w:t>
      </w:r>
      <w:r>
        <w:rPr>
          <w:rFonts w:ascii="Arial" w:hAnsi="Arial" w:cs="Arial"/>
          <w:color w:val="000000"/>
        </w:rPr>
        <w:t>must</w:t>
      </w:r>
      <w:r w:rsidRPr="00960BCA">
        <w:rPr>
          <w:rFonts w:ascii="Arial" w:hAnsi="Arial" w:cs="Arial"/>
          <w:color w:val="000000"/>
        </w:rPr>
        <w:t xml:space="preserve"> receive laboratory specific training and be made aware of the hazards and appropriate safety precautions before working with biological materials; this training will include review of the BSP and any SOPs.</w:t>
      </w:r>
    </w:p>
    <w:p w:rsidR="007677D5" w:rsidRPr="007677D5" w:rsidRDefault="007677D5" w:rsidP="00FE2112">
      <w:pPr>
        <w:pStyle w:val="NormalWeb"/>
        <w:spacing w:before="0" w:beforeAutospacing="0" w:after="60" w:afterAutospacing="0"/>
        <w:rPr>
          <w:rFonts w:ascii="Arial" w:hAnsi="Arial" w:cs="Arial"/>
          <w:b/>
          <w:color w:val="000000"/>
        </w:rPr>
      </w:pPr>
      <w:r w:rsidRPr="007677D5">
        <w:rPr>
          <w:rFonts w:ascii="Arial" w:hAnsi="Arial" w:cs="Arial"/>
          <w:b/>
          <w:color w:val="000000"/>
        </w:rPr>
        <w:t>Attire and personal protective equipment (PPE) requirements:</w:t>
      </w:r>
      <w:r w:rsidR="002512B8" w:rsidRPr="007677D5">
        <w:rPr>
          <w:rFonts w:ascii="Arial" w:hAnsi="Arial" w:cs="Arial"/>
          <w:b/>
          <w:color w:val="000000"/>
        </w:rPr>
        <w:t xml:space="preserve"> </w:t>
      </w:r>
    </w:p>
    <w:p w:rsidR="007677D5" w:rsidRDefault="00ED1768" w:rsidP="00FE2112">
      <w:pPr>
        <w:pStyle w:val="NormalWeb"/>
        <w:numPr>
          <w:ilvl w:val="0"/>
          <w:numId w:val="40"/>
        </w:numPr>
        <w:spacing w:before="0" w:beforeAutospacing="0" w:after="6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Long</w:t>
      </w:r>
      <w:r w:rsidR="007677D5">
        <w:rPr>
          <w:rFonts w:ascii="Arial" w:hAnsi="Arial" w:cs="Arial"/>
          <w:color w:val="000000"/>
        </w:rPr>
        <w:t xml:space="preserve"> pants or </w:t>
      </w:r>
      <w:r>
        <w:rPr>
          <w:rFonts w:ascii="Arial" w:hAnsi="Arial" w:cs="Arial"/>
          <w:color w:val="000000"/>
        </w:rPr>
        <w:t>ankle length skirts</w:t>
      </w:r>
      <w:r w:rsidR="007677D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(no shorts or short skirts) </w:t>
      </w:r>
      <w:r w:rsidR="007677D5">
        <w:rPr>
          <w:rFonts w:ascii="Arial" w:hAnsi="Arial" w:cs="Arial"/>
          <w:color w:val="000000"/>
        </w:rPr>
        <w:t>and shoes that cover the entire foot (no sandals or flip flops, no ballet flats)</w:t>
      </w:r>
      <w:r w:rsidR="007677D5" w:rsidRPr="007677D5">
        <w:rPr>
          <w:rFonts w:ascii="Arial" w:hAnsi="Arial" w:cs="Arial"/>
          <w:color w:val="000000"/>
        </w:rPr>
        <w:t xml:space="preserve"> </w:t>
      </w:r>
      <w:r w:rsidR="007677D5">
        <w:rPr>
          <w:rFonts w:ascii="Arial" w:hAnsi="Arial" w:cs="Arial"/>
          <w:color w:val="000000"/>
        </w:rPr>
        <w:t>are required for entry into areas where biological materials are handled or stored.</w:t>
      </w:r>
    </w:p>
    <w:p w:rsidR="007677D5" w:rsidRDefault="007677D5" w:rsidP="00FE2112">
      <w:pPr>
        <w:pStyle w:val="NormalWeb"/>
        <w:numPr>
          <w:ilvl w:val="0"/>
          <w:numId w:val="40"/>
        </w:numPr>
        <w:spacing w:before="0" w:beforeAutospacing="0" w:after="6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Gloves, lab coat and eye protection (i.e. safety glasses) are required when working with biological materials.</w:t>
      </w:r>
    </w:p>
    <w:p w:rsidR="00603163" w:rsidRDefault="00603163" w:rsidP="00603163">
      <w:pPr>
        <w:pStyle w:val="ListParagraph"/>
        <w:numPr>
          <w:ilvl w:val="0"/>
          <w:numId w:val="40"/>
        </w:numPr>
        <w:rPr>
          <w:rFonts w:ascii="Arial" w:eastAsiaTheme="minorEastAsia" w:hAnsi="Arial" w:cs="Arial"/>
          <w:color w:val="000000"/>
          <w:sz w:val="24"/>
          <w:szCs w:val="24"/>
        </w:rPr>
      </w:pPr>
      <w:bookmarkStart w:id="0" w:name="_GoBack"/>
      <w:r w:rsidRPr="00603163">
        <w:rPr>
          <w:rFonts w:ascii="Arial" w:eastAsiaTheme="minorEastAsia" w:hAnsi="Arial" w:cs="Arial"/>
          <w:color w:val="000000"/>
          <w:sz w:val="24"/>
          <w:szCs w:val="24"/>
        </w:rPr>
        <w:t xml:space="preserve">Face protection (goggles, mask, face shield, or other splatter guard) must be used for all procedures when such procedures could produce splashes or sprays of </w:t>
      </w:r>
      <w:r w:rsidR="00960BCA">
        <w:rPr>
          <w:rFonts w:ascii="Arial" w:eastAsiaTheme="minorEastAsia" w:hAnsi="Arial" w:cs="Arial"/>
          <w:color w:val="000000"/>
          <w:sz w:val="24"/>
          <w:szCs w:val="24"/>
        </w:rPr>
        <w:t>biological</w:t>
      </w:r>
      <w:r w:rsidRPr="00603163">
        <w:rPr>
          <w:rFonts w:ascii="Arial" w:eastAsiaTheme="minorEastAsia" w:hAnsi="Arial" w:cs="Arial"/>
          <w:color w:val="000000"/>
          <w:sz w:val="24"/>
          <w:szCs w:val="24"/>
        </w:rPr>
        <w:t xml:space="preserve"> materials.  </w:t>
      </w:r>
    </w:p>
    <w:bookmarkEnd w:id="0"/>
    <w:p w:rsidR="007677D5" w:rsidRPr="00603163" w:rsidRDefault="007677D5" w:rsidP="00603163">
      <w:pPr>
        <w:pStyle w:val="ListParagraph"/>
        <w:numPr>
          <w:ilvl w:val="0"/>
          <w:numId w:val="40"/>
        </w:numPr>
        <w:rPr>
          <w:rFonts w:ascii="Arial" w:eastAsiaTheme="minorEastAsia" w:hAnsi="Arial" w:cs="Arial"/>
          <w:color w:val="000000"/>
          <w:sz w:val="28"/>
          <w:szCs w:val="24"/>
        </w:rPr>
      </w:pPr>
      <w:r w:rsidRPr="00603163">
        <w:rPr>
          <w:rFonts w:ascii="Arial" w:hAnsi="Arial" w:cs="Arial"/>
          <w:color w:val="000000"/>
          <w:sz w:val="24"/>
        </w:rPr>
        <w:lastRenderedPageBreak/>
        <w:t xml:space="preserve">Additional PPE may be required for </w:t>
      </w:r>
      <w:r w:rsidR="00FE2112" w:rsidRPr="00603163">
        <w:rPr>
          <w:rFonts w:ascii="Arial" w:hAnsi="Arial" w:cs="Arial"/>
          <w:color w:val="000000"/>
          <w:sz w:val="24"/>
        </w:rPr>
        <w:t xml:space="preserve">high consequence agents </w:t>
      </w:r>
      <w:r w:rsidRPr="00603163">
        <w:rPr>
          <w:rFonts w:ascii="Arial" w:hAnsi="Arial" w:cs="Arial"/>
          <w:color w:val="000000"/>
          <w:sz w:val="24"/>
        </w:rPr>
        <w:t xml:space="preserve">or </w:t>
      </w:r>
      <w:r w:rsidR="00FE2112" w:rsidRPr="00603163">
        <w:rPr>
          <w:rFonts w:ascii="Arial" w:hAnsi="Arial" w:cs="Arial"/>
          <w:color w:val="000000"/>
          <w:sz w:val="24"/>
        </w:rPr>
        <w:t xml:space="preserve">for </w:t>
      </w:r>
      <w:r w:rsidRPr="00603163">
        <w:rPr>
          <w:rFonts w:ascii="Arial" w:hAnsi="Arial" w:cs="Arial"/>
          <w:color w:val="000000"/>
          <w:sz w:val="24"/>
        </w:rPr>
        <w:t xml:space="preserve">procedures that pose increased </w:t>
      </w:r>
      <w:r w:rsidR="00FE2112" w:rsidRPr="00603163">
        <w:rPr>
          <w:rFonts w:ascii="Arial" w:hAnsi="Arial" w:cs="Arial"/>
          <w:color w:val="000000"/>
          <w:sz w:val="24"/>
        </w:rPr>
        <w:t>risk of infection; this information should be provided in the BSP or in additional SOPs.</w:t>
      </w:r>
    </w:p>
    <w:p w:rsidR="005B46DD" w:rsidRPr="005B46DD" w:rsidRDefault="005B46DD" w:rsidP="00AB50D2">
      <w:pPr>
        <w:pStyle w:val="NormalWeb"/>
        <w:spacing w:before="0" w:beforeAutospacing="0" w:after="60" w:afterAutospacing="0"/>
        <w:rPr>
          <w:rFonts w:ascii="Arial" w:hAnsi="Arial" w:cs="Arial"/>
          <w:b/>
          <w:bCs/>
          <w:color w:val="000000"/>
        </w:rPr>
      </w:pPr>
      <w:r w:rsidRPr="005B46DD">
        <w:rPr>
          <w:rFonts w:ascii="Arial" w:hAnsi="Arial" w:cs="Arial"/>
          <w:b/>
          <w:bCs/>
          <w:color w:val="000000"/>
        </w:rPr>
        <w:t>General safety procedures:</w:t>
      </w:r>
    </w:p>
    <w:p w:rsidR="00C93054" w:rsidRDefault="005B46DD" w:rsidP="00AB50D2">
      <w:pPr>
        <w:pStyle w:val="NormalWeb"/>
        <w:numPr>
          <w:ilvl w:val="0"/>
          <w:numId w:val="41"/>
        </w:numPr>
        <w:spacing w:before="0" w:beforeAutospacing="0" w:after="60" w:afterAutospacing="0"/>
        <w:rPr>
          <w:rFonts w:ascii="Arial" w:hAnsi="Arial" w:cs="Arial"/>
          <w:color w:val="000000"/>
        </w:rPr>
      </w:pPr>
      <w:r w:rsidRPr="005B46DD">
        <w:rPr>
          <w:rFonts w:ascii="Arial" w:hAnsi="Arial" w:cs="Arial"/>
          <w:color w:val="000000"/>
        </w:rPr>
        <w:t>All persons entering the laboratory</w:t>
      </w:r>
      <w:r w:rsidR="00C93054">
        <w:rPr>
          <w:rFonts w:ascii="Arial" w:hAnsi="Arial" w:cs="Arial"/>
          <w:color w:val="000000"/>
        </w:rPr>
        <w:t xml:space="preserve"> </w:t>
      </w:r>
      <w:r w:rsidR="00FE2112">
        <w:rPr>
          <w:rFonts w:ascii="Arial" w:hAnsi="Arial" w:cs="Arial"/>
          <w:color w:val="000000"/>
        </w:rPr>
        <w:t>must</w:t>
      </w:r>
      <w:r w:rsidRPr="005B46DD">
        <w:rPr>
          <w:rFonts w:ascii="Arial" w:hAnsi="Arial" w:cs="Arial"/>
          <w:color w:val="000000"/>
        </w:rPr>
        <w:t xml:space="preserve"> be</w:t>
      </w:r>
      <w:r w:rsidR="00C93054">
        <w:rPr>
          <w:rFonts w:ascii="Arial" w:hAnsi="Arial" w:cs="Arial"/>
          <w:color w:val="000000"/>
        </w:rPr>
        <w:t xml:space="preserve"> advised of potential hazards.</w:t>
      </w:r>
    </w:p>
    <w:p w:rsidR="005B46DD" w:rsidRPr="005B46DD" w:rsidRDefault="005B46DD" w:rsidP="00AB50D2">
      <w:pPr>
        <w:pStyle w:val="NormalWeb"/>
        <w:numPr>
          <w:ilvl w:val="0"/>
          <w:numId w:val="41"/>
        </w:numPr>
        <w:spacing w:before="0" w:beforeAutospacing="0" w:after="60" w:afterAutospacing="0"/>
        <w:rPr>
          <w:rFonts w:ascii="Arial" w:hAnsi="Arial" w:cs="Arial"/>
          <w:color w:val="000000"/>
        </w:rPr>
      </w:pPr>
      <w:r w:rsidRPr="005B46DD">
        <w:rPr>
          <w:rFonts w:ascii="Arial" w:hAnsi="Arial" w:cs="Arial"/>
          <w:color w:val="000000"/>
        </w:rPr>
        <w:t xml:space="preserve">Access to the laboratory </w:t>
      </w:r>
      <w:r w:rsidR="00ED1768">
        <w:rPr>
          <w:rFonts w:ascii="Arial" w:hAnsi="Arial" w:cs="Arial"/>
          <w:color w:val="000000"/>
        </w:rPr>
        <w:t>must be</w:t>
      </w:r>
      <w:r w:rsidRPr="005B46DD">
        <w:rPr>
          <w:rFonts w:ascii="Arial" w:hAnsi="Arial" w:cs="Arial"/>
          <w:color w:val="000000"/>
        </w:rPr>
        <w:t xml:space="preserve"> limited to staff, or other persons with permission of the Principal Investigator, when work with </w:t>
      </w:r>
      <w:r w:rsidR="00960BCA">
        <w:rPr>
          <w:rFonts w:ascii="Arial" w:hAnsi="Arial" w:cs="Arial"/>
          <w:color w:val="000000"/>
        </w:rPr>
        <w:t>biological</w:t>
      </w:r>
      <w:r w:rsidRPr="005B46DD">
        <w:rPr>
          <w:rFonts w:ascii="Arial" w:hAnsi="Arial" w:cs="Arial"/>
          <w:color w:val="000000"/>
        </w:rPr>
        <w:t xml:space="preserve"> materials is being conducted.  </w:t>
      </w:r>
    </w:p>
    <w:p w:rsidR="00960BCA" w:rsidRPr="005B46DD" w:rsidRDefault="00960BCA" w:rsidP="00960BCA">
      <w:pPr>
        <w:pStyle w:val="NormalWeb"/>
        <w:numPr>
          <w:ilvl w:val="0"/>
          <w:numId w:val="41"/>
        </w:numPr>
        <w:spacing w:before="0" w:beforeAutospacing="0" w:after="60" w:afterAutospacing="0"/>
        <w:rPr>
          <w:rFonts w:ascii="Arial" w:hAnsi="Arial" w:cs="Arial"/>
          <w:color w:val="000000"/>
        </w:rPr>
      </w:pPr>
      <w:r w:rsidRPr="005B46DD">
        <w:rPr>
          <w:rFonts w:ascii="Arial" w:hAnsi="Arial" w:cs="Arial"/>
          <w:color w:val="000000"/>
        </w:rPr>
        <w:t xml:space="preserve">Laboratory staff will treat </w:t>
      </w:r>
      <w:r>
        <w:rPr>
          <w:rFonts w:ascii="Arial" w:hAnsi="Arial" w:cs="Arial"/>
          <w:color w:val="000000"/>
        </w:rPr>
        <w:t>biological materials</w:t>
      </w:r>
      <w:r w:rsidRPr="005B46DD">
        <w:rPr>
          <w:rFonts w:ascii="Arial" w:hAnsi="Arial" w:cs="Arial"/>
          <w:color w:val="000000"/>
        </w:rPr>
        <w:t xml:space="preserve"> using Universal Precautions, AS IF </w:t>
      </w:r>
      <w:r>
        <w:rPr>
          <w:rFonts w:ascii="Arial" w:hAnsi="Arial" w:cs="Arial"/>
          <w:color w:val="000000"/>
        </w:rPr>
        <w:t>potential infectious</w:t>
      </w:r>
      <w:r w:rsidRPr="005B46DD">
        <w:rPr>
          <w:rFonts w:ascii="Arial" w:hAnsi="Arial" w:cs="Arial"/>
          <w:color w:val="000000"/>
        </w:rPr>
        <w:t>.</w:t>
      </w:r>
    </w:p>
    <w:p w:rsidR="005B46DD" w:rsidRPr="005B46DD" w:rsidRDefault="005B46DD" w:rsidP="00AB50D2">
      <w:pPr>
        <w:pStyle w:val="NormalWeb"/>
        <w:numPr>
          <w:ilvl w:val="0"/>
          <w:numId w:val="41"/>
        </w:numPr>
        <w:spacing w:before="0" w:beforeAutospacing="0" w:after="60" w:afterAutospacing="0"/>
        <w:rPr>
          <w:rFonts w:ascii="Arial" w:hAnsi="Arial" w:cs="Arial"/>
          <w:color w:val="000000"/>
        </w:rPr>
      </w:pPr>
      <w:r w:rsidRPr="005B46DD">
        <w:rPr>
          <w:rFonts w:ascii="Arial" w:hAnsi="Arial" w:cs="Arial"/>
          <w:color w:val="000000"/>
        </w:rPr>
        <w:t xml:space="preserve">The laboratory must have a sink for hand washing and adequate supplies must be available (i.e. soap and paper towels). </w:t>
      </w:r>
    </w:p>
    <w:p w:rsidR="00ED1768" w:rsidRDefault="005B46DD" w:rsidP="00AB50D2">
      <w:pPr>
        <w:pStyle w:val="NormalWeb"/>
        <w:numPr>
          <w:ilvl w:val="0"/>
          <w:numId w:val="41"/>
        </w:numPr>
        <w:spacing w:before="0" w:beforeAutospacing="0" w:after="60" w:afterAutospacing="0"/>
        <w:rPr>
          <w:rFonts w:ascii="Arial" w:hAnsi="Arial" w:cs="Arial"/>
          <w:color w:val="000000"/>
        </w:rPr>
      </w:pPr>
      <w:r w:rsidRPr="005B46DD">
        <w:rPr>
          <w:rFonts w:ascii="Arial" w:hAnsi="Arial" w:cs="Arial"/>
          <w:color w:val="000000"/>
        </w:rPr>
        <w:t>The laboratory mus</w:t>
      </w:r>
      <w:r w:rsidR="00FE2112">
        <w:rPr>
          <w:rFonts w:ascii="Arial" w:hAnsi="Arial" w:cs="Arial"/>
          <w:color w:val="000000"/>
        </w:rPr>
        <w:t xml:space="preserve">t have an eyewash </w:t>
      </w:r>
      <w:r w:rsidR="00ED1768">
        <w:rPr>
          <w:rFonts w:ascii="Arial" w:hAnsi="Arial" w:cs="Arial"/>
          <w:color w:val="000000"/>
        </w:rPr>
        <w:t>and safety shower.</w:t>
      </w:r>
    </w:p>
    <w:p w:rsidR="00960BCA" w:rsidRDefault="00ED1768" w:rsidP="00AB50D2">
      <w:pPr>
        <w:pStyle w:val="NormalWeb"/>
        <w:numPr>
          <w:ilvl w:val="0"/>
          <w:numId w:val="41"/>
        </w:numPr>
        <w:spacing w:before="0" w:beforeAutospacing="0" w:after="6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eyewash must be</w:t>
      </w:r>
      <w:r w:rsidR="005B46DD" w:rsidRPr="005B46DD">
        <w:rPr>
          <w:rFonts w:ascii="Arial" w:hAnsi="Arial" w:cs="Arial"/>
          <w:color w:val="000000"/>
        </w:rPr>
        <w:t xml:space="preserve"> flushed </w:t>
      </w:r>
      <w:r w:rsidR="00FE2112" w:rsidRPr="005B46DD">
        <w:rPr>
          <w:rFonts w:ascii="Arial" w:hAnsi="Arial" w:cs="Arial"/>
          <w:color w:val="000000"/>
        </w:rPr>
        <w:t xml:space="preserve">at least monthly </w:t>
      </w:r>
      <w:r w:rsidR="00FE2112">
        <w:rPr>
          <w:rFonts w:ascii="Arial" w:hAnsi="Arial" w:cs="Arial"/>
          <w:color w:val="000000"/>
        </w:rPr>
        <w:t>by</w:t>
      </w:r>
      <w:r w:rsidR="00960BCA">
        <w:rPr>
          <w:rFonts w:ascii="Arial" w:hAnsi="Arial" w:cs="Arial"/>
          <w:color w:val="000000"/>
        </w:rPr>
        <w:t xml:space="preserve"> research personnel</w:t>
      </w:r>
      <w:r>
        <w:rPr>
          <w:rFonts w:ascii="Arial" w:hAnsi="Arial" w:cs="Arial"/>
          <w:color w:val="000000"/>
        </w:rPr>
        <w:t>.</w:t>
      </w:r>
    </w:p>
    <w:p w:rsidR="005B46DD" w:rsidRPr="005B46DD" w:rsidRDefault="00960BCA" w:rsidP="00AB50D2">
      <w:pPr>
        <w:pStyle w:val="NormalWeb"/>
        <w:numPr>
          <w:ilvl w:val="0"/>
          <w:numId w:val="41"/>
        </w:numPr>
        <w:spacing w:before="0" w:beforeAutospacing="0" w:after="6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="005B46DD" w:rsidRPr="005B46DD">
        <w:rPr>
          <w:rFonts w:ascii="Arial" w:hAnsi="Arial" w:cs="Arial"/>
          <w:color w:val="000000"/>
        </w:rPr>
        <w:t xml:space="preserve">he area around the </w:t>
      </w:r>
      <w:r w:rsidR="00ED1768">
        <w:rPr>
          <w:rFonts w:ascii="Arial" w:hAnsi="Arial" w:cs="Arial"/>
          <w:color w:val="000000"/>
        </w:rPr>
        <w:t>safety shower</w:t>
      </w:r>
      <w:r>
        <w:rPr>
          <w:rFonts w:ascii="Arial" w:hAnsi="Arial" w:cs="Arial"/>
          <w:color w:val="000000"/>
        </w:rPr>
        <w:t xml:space="preserve"> and </w:t>
      </w:r>
      <w:r w:rsidR="00FE2112">
        <w:rPr>
          <w:rFonts w:ascii="Arial" w:hAnsi="Arial" w:cs="Arial"/>
          <w:color w:val="000000"/>
        </w:rPr>
        <w:t>eyewash must be</w:t>
      </w:r>
      <w:r w:rsidR="005B46DD" w:rsidRPr="005B46DD">
        <w:rPr>
          <w:rFonts w:ascii="Arial" w:hAnsi="Arial" w:cs="Arial"/>
          <w:color w:val="000000"/>
        </w:rPr>
        <w:t xml:space="preserve"> kept clear of obstructions.</w:t>
      </w:r>
    </w:p>
    <w:p w:rsidR="005B46DD" w:rsidRPr="005B46DD" w:rsidRDefault="005B46DD" w:rsidP="00AB50D2">
      <w:pPr>
        <w:pStyle w:val="NormalWeb"/>
        <w:numPr>
          <w:ilvl w:val="0"/>
          <w:numId w:val="41"/>
        </w:numPr>
        <w:spacing w:before="0" w:beforeAutospacing="0" w:after="60" w:afterAutospacing="0"/>
        <w:rPr>
          <w:rFonts w:ascii="Arial" w:hAnsi="Arial" w:cs="Arial"/>
          <w:color w:val="000000"/>
        </w:rPr>
      </w:pPr>
      <w:r w:rsidRPr="005B46DD">
        <w:rPr>
          <w:rFonts w:ascii="Arial" w:hAnsi="Arial" w:cs="Arial"/>
          <w:color w:val="000000"/>
        </w:rPr>
        <w:t>Laboratory doors must be locked when unattended.</w:t>
      </w:r>
    </w:p>
    <w:p w:rsidR="005B46DD" w:rsidRPr="005B46DD" w:rsidRDefault="005B46DD" w:rsidP="00AB50D2">
      <w:pPr>
        <w:pStyle w:val="NormalWeb"/>
        <w:numPr>
          <w:ilvl w:val="0"/>
          <w:numId w:val="41"/>
        </w:numPr>
        <w:spacing w:before="0" w:beforeAutospacing="0" w:after="60" w:afterAutospacing="0"/>
        <w:rPr>
          <w:rFonts w:ascii="Arial" w:hAnsi="Arial" w:cs="Arial"/>
          <w:color w:val="000000"/>
        </w:rPr>
      </w:pPr>
      <w:r w:rsidRPr="005B46DD">
        <w:rPr>
          <w:rFonts w:ascii="Arial" w:hAnsi="Arial" w:cs="Arial"/>
          <w:color w:val="000000"/>
        </w:rPr>
        <w:t>Laboratory furniture and furnishing must be non-porous to allow for disinfection – carpeting, cloth chairs are not permitted.</w:t>
      </w:r>
    </w:p>
    <w:p w:rsidR="00C02A3A" w:rsidRDefault="005B46DD" w:rsidP="00AB50D2">
      <w:pPr>
        <w:pStyle w:val="NormalWeb"/>
        <w:numPr>
          <w:ilvl w:val="0"/>
          <w:numId w:val="41"/>
        </w:numPr>
        <w:spacing w:before="0" w:beforeAutospacing="0" w:after="60" w:afterAutospacing="0"/>
        <w:rPr>
          <w:rFonts w:ascii="Arial" w:hAnsi="Arial" w:cs="Arial"/>
          <w:color w:val="000000"/>
        </w:rPr>
      </w:pPr>
      <w:r w:rsidRPr="005B46DD">
        <w:rPr>
          <w:rFonts w:ascii="Arial" w:hAnsi="Arial" w:cs="Arial"/>
          <w:color w:val="000000"/>
        </w:rPr>
        <w:t>Spaces between benches, cabinets, and equipment must be kept accessible for cleaning.</w:t>
      </w:r>
    </w:p>
    <w:p w:rsidR="005B46DD" w:rsidRPr="005B46DD" w:rsidRDefault="005B46DD" w:rsidP="00AB50D2">
      <w:pPr>
        <w:pStyle w:val="NormalWeb"/>
        <w:numPr>
          <w:ilvl w:val="0"/>
          <w:numId w:val="41"/>
        </w:numPr>
        <w:spacing w:before="0" w:beforeAutospacing="0" w:after="60" w:afterAutospacing="0"/>
        <w:rPr>
          <w:rFonts w:ascii="Arial" w:hAnsi="Arial" w:cs="Arial"/>
          <w:color w:val="000000"/>
        </w:rPr>
      </w:pPr>
      <w:r w:rsidRPr="005B46DD">
        <w:rPr>
          <w:rFonts w:ascii="Arial" w:hAnsi="Arial" w:cs="Arial"/>
          <w:color w:val="000000"/>
        </w:rPr>
        <w:t>Absorbent material such as cardboard boxes (other than biohazard boxes) must not be placed on the floor</w:t>
      </w:r>
    </w:p>
    <w:p w:rsidR="005B46DD" w:rsidRPr="005B46DD" w:rsidRDefault="005B46DD" w:rsidP="00AB50D2">
      <w:pPr>
        <w:pStyle w:val="NormalWeb"/>
        <w:numPr>
          <w:ilvl w:val="0"/>
          <w:numId w:val="41"/>
        </w:numPr>
        <w:spacing w:before="0" w:beforeAutospacing="0" w:after="60" w:afterAutospacing="0"/>
        <w:rPr>
          <w:rFonts w:ascii="Arial" w:hAnsi="Arial" w:cs="Arial"/>
          <w:color w:val="000000"/>
        </w:rPr>
      </w:pPr>
      <w:r w:rsidRPr="005B46DD">
        <w:rPr>
          <w:rFonts w:ascii="Arial" w:hAnsi="Arial" w:cs="Arial"/>
          <w:color w:val="000000"/>
        </w:rPr>
        <w:t xml:space="preserve">Laboratory staff will not eat, drink, smoke, handle contact lenses, chew gum, or apply cosmetics in laboratory.  </w:t>
      </w:r>
    </w:p>
    <w:p w:rsidR="003555FE" w:rsidRDefault="003555FE" w:rsidP="00AB50D2">
      <w:pPr>
        <w:pStyle w:val="NormalWeb"/>
        <w:numPr>
          <w:ilvl w:val="0"/>
          <w:numId w:val="41"/>
        </w:numPr>
        <w:spacing w:before="0" w:beforeAutospacing="0" w:after="6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Food or drink for human consumption or utensils or cups must be stored outside laboratory work area in refrigerators designated for that purpose only.</w:t>
      </w:r>
    </w:p>
    <w:p w:rsidR="00603163" w:rsidRDefault="003555FE" w:rsidP="00AB50D2">
      <w:pPr>
        <w:pStyle w:val="NormalWeb"/>
        <w:numPr>
          <w:ilvl w:val="0"/>
          <w:numId w:val="41"/>
        </w:numPr>
        <w:spacing w:before="0" w:beforeAutospacing="0" w:after="6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Contaminated gloves must b</w:t>
      </w:r>
      <w:r w:rsidR="00603163">
        <w:rPr>
          <w:rFonts w:ascii="Arial" w:hAnsi="Arial" w:cs="Arial"/>
          <w:color w:val="000000"/>
        </w:rPr>
        <w:t xml:space="preserve">e removed immediately and placed in the biohazard waste container for disposal. </w:t>
      </w:r>
    </w:p>
    <w:p w:rsidR="005B46DD" w:rsidRDefault="00603163" w:rsidP="00AB50D2">
      <w:pPr>
        <w:pStyle w:val="NormalWeb"/>
        <w:numPr>
          <w:ilvl w:val="0"/>
          <w:numId w:val="41"/>
        </w:numPr>
        <w:spacing w:before="0" w:beforeAutospacing="0" w:after="6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Under NO </w:t>
      </w:r>
      <w:r w:rsidR="003555FE">
        <w:rPr>
          <w:rFonts w:ascii="Arial" w:hAnsi="Arial" w:cs="Arial"/>
          <w:color w:val="000000"/>
        </w:rPr>
        <w:t>CIRCUMSTANCES will gloves be reused.</w:t>
      </w:r>
    </w:p>
    <w:p w:rsidR="002B07C0" w:rsidRDefault="002B07C0" w:rsidP="00AB50D2">
      <w:pPr>
        <w:pStyle w:val="NormalWeb"/>
        <w:numPr>
          <w:ilvl w:val="0"/>
          <w:numId w:val="41"/>
        </w:numPr>
        <w:spacing w:before="0" w:beforeAutospacing="0" w:after="6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Laboratory staff must wash hands after handling </w:t>
      </w:r>
      <w:r w:rsidR="00603163">
        <w:rPr>
          <w:rFonts w:ascii="Arial" w:hAnsi="Arial" w:cs="Arial"/>
          <w:color w:val="000000"/>
        </w:rPr>
        <w:t>biological</w:t>
      </w:r>
      <w:r>
        <w:rPr>
          <w:rFonts w:ascii="Arial" w:hAnsi="Arial" w:cs="Arial"/>
          <w:color w:val="000000"/>
        </w:rPr>
        <w:t xml:space="preserve"> materials, after removing gloves, and before leaving the laboratory.</w:t>
      </w:r>
    </w:p>
    <w:p w:rsidR="002B07C0" w:rsidRPr="002B07C0" w:rsidRDefault="002B07C0" w:rsidP="00AB50D2">
      <w:pPr>
        <w:numPr>
          <w:ilvl w:val="0"/>
          <w:numId w:val="41"/>
        </w:numPr>
        <w:tabs>
          <w:tab w:val="left" w:pos="360"/>
        </w:tabs>
        <w:spacing w:after="60" w:line="240" w:lineRule="auto"/>
        <w:rPr>
          <w:rFonts w:ascii="Arial" w:hAnsi="Arial" w:cs="Arial"/>
          <w:sz w:val="24"/>
          <w:szCs w:val="24"/>
        </w:rPr>
      </w:pPr>
      <w:r w:rsidRPr="002B07C0">
        <w:rPr>
          <w:rFonts w:ascii="Arial" w:hAnsi="Arial" w:cs="Arial"/>
          <w:sz w:val="24"/>
          <w:szCs w:val="24"/>
        </w:rPr>
        <w:t>Protective clothing must be removed and left in laboratory before going to non-laboratory areas (cafeteria, library, administrative areas).</w:t>
      </w:r>
    </w:p>
    <w:p w:rsidR="002B07C0" w:rsidRPr="002B07C0" w:rsidRDefault="002B07C0" w:rsidP="00AB50D2">
      <w:pPr>
        <w:numPr>
          <w:ilvl w:val="0"/>
          <w:numId w:val="41"/>
        </w:numPr>
        <w:tabs>
          <w:tab w:val="left" w:pos="360"/>
        </w:tabs>
        <w:spacing w:after="60" w:line="240" w:lineRule="auto"/>
        <w:rPr>
          <w:rFonts w:ascii="Arial" w:hAnsi="Arial" w:cs="Arial"/>
          <w:sz w:val="24"/>
          <w:szCs w:val="24"/>
        </w:rPr>
      </w:pPr>
      <w:r w:rsidRPr="002B07C0">
        <w:rPr>
          <w:rFonts w:ascii="Arial" w:hAnsi="Arial" w:cs="Arial"/>
          <w:sz w:val="24"/>
          <w:szCs w:val="24"/>
        </w:rPr>
        <w:t>Protective clothing must be either disposed of in laboratory or laundered by institution. (NEVER taken home!)</w:t>
      </w:r>
    </w:p>
    <w:p w:rsidR="00ED1768" w:rsidRDefault="002B07C0" w:rsidP="00ED1768">
      <w:pPr>
        <w:numPr>
          <w:ilvl w:val="0"/>
          <w:numId w:val="41"/>
        </w:numPr>
        <w:tabs>
          <w:tab w:val="left" w:pos="360"/>
        </w:tabs>
        <w:spacing w:after="60" w:line="240" w:lineRule="auto"/>
        <w:rPr>
          <w:rFonts w:ascii="Arial" w:hAnsi="Arial" w:cs="Arial"/>
          <w:sz w:val="24"/>
          <w:szCs w:val="24"/>
        </w:rPr>
      </w:pPr>
      <w:r w:rsidRPr="002B07C0">
        <w:rPr>
          <w:rFonts w:ascii="Arial" w:hAnsi="Arial" w:cs="Arial"/>
          <w:sz w:val="24"/>
          <w:szCs w:val="24"/>
        </w:rPr>
        <w:lastRenderedPageBreak/>
        <w:t>Only mechanical pipetting devices must be used in the laboratory</w:t>
      </w:r>
      <w:r w:rsidR="00ED1768">
        <w:rPr>
          <w:rFonts w:ascii="Arial" w:hAnsi="Arial" w:cs="Arial"/>
          <w:sz w:val="24"/>
          <w:szCs w:val="24"/>
        </w:rPr>
        <w:t xml:space="preserve"> (no mouth pipetting)</w:t>
      </w:r>
      <w:r w:rsidRPr="002B07C0">
        <w:rPr>
          <w:rFonts w:ascii="Arial" w:hAnsi="Arial" w:cs="Arial"/>
          <w:sz w:val="24"/>
          <w:szCs w:val="24"/>
        </w:rPr>
        <w:t>.</w:t>
      </w:r>
    </w:p>
    <w:p w:rsidR="00ED1768" w:rsidRDefault="002B07C0" w:rsidP="00ED1768">
      <w:pPr>
        <w:numPr>
          <w:ilvl w:val="0"/>
          <w:numId w:val="41"/>
        </w:numPr>
        <w:tabs>
          <w:tab w:val="left" w:pos="360"/>
        </w:tabs>
        <w:spacing w:after="240" w:line="240" w:lineRule="auto"/>
        <w:rPr>
          <w:rFonts w:ascii="Arial" w:hAnsi="Arial" w:cs="Arial"/>
          <w:sz w:val="24"/>
          <w:szCs w:val="24"/>
        </w:rPr>
      </w:pPr>
      <w:r w:rsidRPr="00ED1768">
        <w:rPr>
          <w:rFonts w:ascii="Arial" w:hAnsi="Arial" w:cs="Arial"/>
          <w:sz w:val="24"/>
          <w:szCs w:val="24"/>
        </w:rPr>
        <w:t xml:space="preserve">All procedures must be performed </w:t>
      </w:r>
      <w:r w:rsidR="00ED1768">
        <w:rPr>
          <w:rFonts w:ascii="Arial" w:hAnsi="Arial" w:cs="Arial"/>
          <w:sz w:val="24"/>
          <w:szCs w:val="24"/>
        </w:rPr>
        <w:t xml:space="preserve">in a manner that </w:t>
      </w:r>
      <w:r w:rsidRPr="00ED1768">
        <w:rPr>
          <w:rFonts w:ascii="Arial" w:hAnsi="Arial" w:cs="Arial"/>
          <w:sz w:val="24"/>
          <w:szCs w:val="24"/>
        </w:rPr>
        <w:t>minimize</w:t>
      </w:r>
      <w:r w:rsidR="00ED1768">
        <w:rPr>
          <w:rFonts w:ascii="Arial" w:hAnsi="Arial" w:cs="Arial"/>
          <w:sz w:val="24"/>
          <w:szCs w:val="24"/>
        </w:rPr>
        <w:t>s</w:t>
      </w:r>
      <w:r w:rsidRPr="00ED1768">
        <w:rPr>
          <w:rFonts w:ascii="Arial" w:hAnsi="Arial" w:cs="Arial"/>
          <w:sz w:val="24"/>
          <w:szCs w:val="24"/>
        </w:rPr>
        <w:t xml:space="preserve"> creation of splashes or aerosols.</w:t>
      </w:r>
    </w:p>
    <w:p w:rsidR="00ED1768" w:rsidRPr="00ED1768" w:rsidRDefault="00ED1768" w:rsidP="00797BD1">
      <w:pPr>
        <w:tabs>
          <w:tab w:val="left" w:pos="360"/>
        </w:tabs>
        <w:spacing w:after="6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ED1768">
        <w:rPr>
          <w:rFonts w:ascii="Arial" w:hAnsi="Arial" w:cs="Arial"/>
          <w:b/>
          <w:sz w:val="24"/>
          <w:szCs w:val="24"/>
        </w:rPr>
        <w:t>Biosafety cabinets (BSCs):</w:t>
      </w:r>
    </w:p>
    <w:p w:rsidR="00B6318D" w:rsidRDefault="00B6318D" w:rsidP="00797BD1">
      <w:pPr>
        <w:numPr>
          <w:ilvl w:val="0"/>
          <w:numId w:val="42"/>
        </w:numPr>
        <w:tabs>
          <w:tab w:val="left" w:pos="360"/>
        </w:tabs>
        <w:spacing w:after="60" w:line="240" w:lineRule="auto"/>
        <w:rPr>
          <w:rFonts w:ascii="Arial" w:hAnsi="Arial" w:cs="Arial"/>
          <w:sz w:val="24"/>
          <w:szCs w:val="24"/>
        </w:rPr>
      </w:pPr>
      <w:r w:rsidRPr="00B6318D">
        <w:rPr>
          <w:rFonts w:ascii="Arial" w:hAnsi="Arial" w:cs="Arial"/>
          <w:sz w:val="24"/>
          <w:szCs w:val="24"/>
        </w:rPr>
        <w:t xml:space="preserve">A Biosafety Cabinet must be used for all procedures with potential for creating infectious aerosols or splashes, or whenever handling high concentrations of </w:t>
      </w:r>
      <w:r w:rsidR="00797BD1">
        <w:rPr>
          <w:rFonts w:ascii="Arial" w:hAnsi="Arial" w:cs="Arial"/>
          <w:sz w:val="24"/>
          <w:szCs w:val="24"/>
        </w:rPr>
        <w:t xml:space="preserve">potentially </w:t>
      </w:r>
      <w:r w:rsidRPr="00B6318D">
        <w:rPr>
          <w:rFonts w:ascii="Arial" w:hAnsi="Arial" w:cs="Arial"/>
          <w:sz w:val="24"/>
          <w:szCs w:val="24"/>
        </w:rPr>
        <w:t>infectious materials.</w:t>
      </w:r>
    </w:p>
    <w:p w:rsidR="00797BD1" w:rsidRPr="00B6318D" w:rsidRDefault="00797BD1" w:rsidP="00797BD1">
      <w:pPr>
        <w:numPr>
          <w:ilvl w:val="0"/>
          <w:numId w:val="42"/>
        </w:numPr>
        <w:tabs>
          <w:tab w:val="left" w:pos="360"/>
        </w:tabs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Refer to the BSP or agent/procedure specific SOPs to determine when use of a BSC is required. </w:t>
      </w:r>
    </w:p>
    <w:p w:rsidR="00B6318D" w:rsidRPr="00B6318D" w:rsidRDefault="00797BD1" w:rsidP="00797BD1">
      <w:pPr>
        <w:numPr>
          <w:ilvl w:val="0"/>
          <w:numId w:val="42"/>
        </w:numPr>
        <w:tabs>
          <w:tab w:val="left" w:pos="360"/>
        </w:tabs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BSCs</w:t>
      </w:r>
      <w:r w:rsidR="00B6318D" w:rsidRPr="00B6318D">
        <w:rPr>
          <w:rFonts w:ascii="Arial" w:hAnsi="Arial" w:cs="Arial"/>
          <w:sz w:val="24"/>
          <w:szCs w:val="24"/>
        </w:rPr>
        <w:t xml:space="preserve"> must have a current (annual) certification.  </w:t>
      </w:r>
    </w:p>
    <w:p w:rsidR="00B6318D" w:rsidRPr="00B6318D" w:rsidRDefault="00797BD1" w:rsidP="00797BD1">
      <w:pPr>
        <w:numPr>
          <w:ilvl w:val="0"/>
          <w:numId w:val="42"/>
        </w:numPr>
        <w:tabs>
          <w:tab w:val="left" w:pos="360"/>
        </w:tabs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BSCs</w:t>
      </w:r>
      <w:r w:rsidR="00B6318D" w:rsidRPr="00B6318D">
        <w:rPr>
          <w:rFonts w:ascii="Arial" w:hAnsi="Arial" w:cs="Arial"/>
          <w:sz w:val="24"/>
          <w:szCs w:val="24"/>
        </w:rPr>
        <w:t xml:space="preserve"> must not be used until it is recertified after </w:t>
      </w:r>
      <w:r>
        <w:rPr>
          <w:rFonts w:ascii="Arial" w:hAnsi="Arial" w:cs="Arial"/>
          <w:sz w:val="24"/>
          <w:szCs w:val="24"/>
        </w:rPr>
        <w:t xml:space="preserve">repair or </w:t>
      </w:r>
      <w:r w:rsidR="00B6318D" w:rsidRPr="00B6318D">
        <w:rPr>
          <w:rFonts w:ascii="Arial" w:hAnsi="Arial" w:cs="Arial"/>
          <w:sz w:val="24"/>
          <w:szCs w:val="24"/>
        </w:rPr>
        <w:t>relocati</w:t>
      </w:r>
      <w:r>
        <w:rPr>
          <w:rFonts w:ascii="Arial" w:hAnsi="Arial" w:cs="Arial"/>
          <w:sz w:val="24"/>
          <w:szCs w:val="24"/>
        </w:rPr>
        <w:t>on</w:t>
      </w:r>
      <w:r w:rsidR="00B6318D" w:rsidRPr="00B6318D">
        <w:rPr>
          <w:rFonts w:ascii="Arial" w:hAnsi="Arial" w:cs="Arial"/>
          <w:sz w:val="24"/>
          <w:szCs w:val="24"/>
        </w:rPr>
        <w:t xml:space="preserve">.  </w:t>
      </w:r>
    </w:p>
    <w:p w:rsidR="005B46DD" w:rsidRPr="005B46DD" w:rsidRDefault="005B46DD" w:rsidP="00797BD1">
      <w:pPr>
        <w:pStyle w:val="NormalWeb"/>
        <w:spacing w:before="0" w:beforeAutospacing="0" w:after="60" w:afterAutospacing="0"/>
        <w:rPr>
          <w:rFonts w:ascii="Arial" w:hAnsi="Arial" w:cs="Arial"/>
          <w:b/>
          <w:color w:val="000000"/>
        </w:rPr>
      </w:pPr>
      <w:r w:rsidRPr="005B46DD">
        <w:rPr>
          <w:rFonts w:ascii="Arial" w:hAnsi="Arial" w:cs="Arial"/>
          <w:b/>
          <w:color w:val="000000"/>
        </w:rPr>
        <w:t>Centrifugation:</w:t>
      </w:r>
    </w:p>
    <w:p w:rsidR="00611F07" w:rsidRPr="00611F07" w:rsidRDefault="00B6318D" w:rsidP="00611F07">
      <w:pPr>
        <w:pStyle w:val="NormalWeb"/>
        <w:numPr>
          <w:ilvl w:val="0"/>
          <w:numId w:val="43"/>
        </w:numPr>
        <w:spacing w:before="0" w:beforeAutospacing="0" w:after="60" w:afterAutospacing="0"/>
        <w:rPr>
          <w:rFonts w:ascii="Arial" w:hAnsi="Arial" w:cs="Arial"/>
          <w:color w:val="000000"/>
        </w:rPr>
      </w:pPr>
      <w:r w:rsidRPr="00B6318D">
        <w:rPr>
          <w:rFonts w:ascii="Arial" w:hAnsi="Arial" w:cs="Arial"/>
        </w:rPr>
        <w:t xml:space="preserve">Centrifuges used for </w:t>
      </w:r>
      <w:r w:rsidR="00797BD1">
        <w:rPr>
          <w:rFonts w:ascii="Arial" w:hAnsi="Arial" w:cs="Arial"/>
        </w:rPr>
        <w:t>potentially</w:t>
      </w:r>
      <w:r w:rsidRPr="00B6318D">
        <w:rPr>
          <w:rFonts w:ascii="Arial" w:hAnsi="Arial" w:cs="Arial"/>
        </w:rPr>
        <w:t xml:space="preserve"> infectious agents</w:t>
      </w:r>
      <w:r w:rsidR="00797BD1">
        <w:rPr>
          <w:rFonts w:ascii="Arial" w:hAnsi="Arial" w:cs="Arial"/>
        </w:rPr>
        <w:t xml:space="preserve"> (human specimens or cell lines</w:t>
      </w:r>
      <w:r w:rsidR="00611F07">
        <w:rPr>
          <w:rFonts w:ascii="Arial" w:hAnsi="Arial" w:cs="Arial"/>
        </w:rPr>
        <w:t>, viral vectors, bacterial cultures</w:t>
      </w:r>
      <w:r w:rsidR="00797BD1">
        <w:rPr>
          <w:rFonts w:ascii="Arial" w:hAnsi="Arial" w:cs="Arial"/>
        </w:rPr>
        <w:t>)</w:t>
      </w:r>
      <w:r w:rsidRPr="00B6318D">
        <w:rPr>
          <w:rFonts w:ascii="Arial" w:hAnsi="Arial" w:cs="Arial"/>
        </w:rPr>
        <w:t xml:space="preserve"> must have sealed rotor hea</w:t>
      </w:r>
      <w:r w:rsidR="00611F07">
        <w:rPr>
          <w:rFonts w:ascii="Arial" w:hAnsi="Arial" w:cs="Arial"/>
        </w:rPr>
        <w:t>ds or centrifuge safety caps</w:t>
      </w:r>
    </w:p>
    <w:p w:rsidR="00B6318D" w:rsidRPr="00B6318D" w:rsidRDefault="00611F07" w:rsidP="00611F07">
      <w:pPr>
        <w:pStyle w:val="NormalWeb"/>
        <w:numPr>
          <w:ilvl w:val="0"/>
          <w:numId w:val="43"/>
        </w:numPr>
        <w:spacing w:before="0" w:beforeAutospacing="0" w:after="6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Safety ca</w:t>
      </w:r>
      <w:r w:rsidR="00B6318D" w:rsidRPr="00B6318D">
        <w:rPr>
          <w:rFonts w:ascii="Arial" w:hAnsi="Arial" w:cs="Arial"/>
        </w:rPr>
        <w:t>ps must be opened only in a</w:t>
      </w:r>
      <w:r w:rsidR="00B631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BSC</w:t>
      </w:r>
      <w:r w:rsidR="00B6318D">
        <w:rPr>
          <w:rFonts w:ascii="Arial" w:hAnsi="Arial" w:cs="Arial"/>
        </w:rPr>
        <w:t>.</w:t>
      </w:r>
    </w:p>
    <w:p w:rsidR="005B46DD" w:rsidRPr="005B46DD" w:rsidRDefault="005B46DD" w:rsidP="00611F07">
      <w:pPr>
        <w:pStyle w:val="NormalWeb"/>
        <w:numPr>
          <w:ilvl w:val="0"/>
          <w:numId w:val="43"/>
        </w:numPr>
        <w:spacing w:before="0" w:beforeAutospacing="0" w:after="240" w:afterAutospacing="0"/>
        <w:rPr>
          <w:rFonts w:ascii="Arial" w:hAnsi="Arial" w:cs="Arial"/>
          <w:color w:val="000000"/>
        </w:rPr>
      </w:pPr>
      <w:r w:rsidRPr="005B46DD">
        <w:rPr>
          <w:rFonts w:ascii="Arial" w:hAnsi="Arial" w:cs="Arial"/>
          <w:color w:val="000000"/>
        </w:rPr>
        <w:t>If a vial breaks during centrifugation, do not open the centrifuge; call the Biological Safety Office (</w:t>
      </w:r>
      <w:r w:rsidR="00961C00">
        <w:rPr>
          <w:rFonts w:ascii="Arial" w:hAnsi="Arial" w:cs="Arial"/>
          <w:color w:val="000000"/>
        </w:rPr>
        <w:t>706-72</w:t>
      </w:r>
      <w:r w:rsidRPr="005B46DD">
        <w:rPr>
          <w:rFonts w:ascii="Arial" w:hAnsi="Arial" w:cs="Arial"/>
          <w:color w:val="000000"/>
        </w:rPr>
        <w:t>1-2663) for assistance.</w:t>
      </w:r>
    </w:p>
    <w:p w:rsidR="005B46DD" w:rsidRPr="005B46DD" w:rsidRDefault="00ED1768" w:rsidP="00C93054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Decontamination and waste handling</w:t>
      </w:r>
      <w:r w:rsidR="005B46DD" w:rsidRPr="005B46DD">
        <w:rPr>
          <w:rFonts w:ascii="Arial" w:hAnsi="Arial" w:cs="Arial"/>
          <w:b/>
          <w:color w:val="000000"/>
        </w:rPr>
        <w:t>:</w:t>
      </w:r>
    </w:p>
    <w:p w:rsidR="005B46DD" w:rsidRPr="005B46DD" w:rsidRDefault="005B46DD" w:rsidP="00611F07">
      <w:pPr>
        <w:pStyle w:val="NormalWeb"/>
        <w:numPr>
          <w:ilvl w:val="0"/>
          <w:numId w:val="44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5B46DD">
        <w:rPr>
          <w:rFonts w:ascii="Arial" w:hAnsi="Arial" w:cs="Arial"/>
          <w:color w:val="000000"/>
        </w:rPr>
        <w:t>Surfaces</w:t>
      </w:r>
    </w:p>
    <w:p w:rsidR="00611F07" w:rsidRPr="00611F07" w:rsidRDefault="00611F07" w:rsidP="00611F07">
      <w:pPr>
        <w:pStyle w:val="NormalWeb"/>
        <w:numPr>
          <w:ilvl w:val="1"/>
          <w:numId w:val="44"/>
        </w:numPr>
        <w:spacing w:before="0" w:beforeAutospacing="0" w:after="0" w:afterAutospacing="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 xml:space="preserve">Laboratory equipment and </w:t>
      </w:r>
      <w:r w:rsidR="00B6318D">
        <w:rPr>
          <w:rFonts w:ascii="Arial" w:hAnsi="Arial" w:cs="Arial"/>
          <w:color w:val="000000"/>
        </w:rPr>
        <w:t>surfaces must be decontaminated on a routine basis, after work with infectious materials is finished, and especially after overt spills or splashes of viable material.</w:t>
      </w:r>
    </w:p>
    <w:p w:rsidR="00611F07" w:rsidRPr="00611F07" w:rsidRDefault="00611F07" w:rsidP="00611F07">
      <w:pPr>
        <w:pStyle w:val="NormalWeb"/>
        <w:numPr>
          <w:ilvl w:val="1"/>
          <w:numId w:val="44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5B46DD">
        <w:rPr>
          <w:rFonts w:ascii="Arial" w:hAnsi="Arial" w:cs="Arial"/>
          <w:color w:val="000000"/>
        </w:rPr>
        <w:t xml:space="preserve">Equipment must be decontaminated before removal from the laboratory (for repair maintenance or other purposes).  </w:t>
      </w:r>
    </w:p>
    <w:p w:rsidR="005B46DD" w:rsidRPr="00611F07" w:rsidRDefault="002967C4" w:rsidP="00611F07">
      <w:pPr>
        <w:pStyle w:val="NormalWeb"/>
        <w:numPr>
          <w:ilvl w:val="1"/>
          <w:numId w:val="44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See above for appropriate disinfectant, concentration, and contact time</w:t>
      </w:r>
      <w:r w:rsidR="005B46DD" w:rsidRPr="00611F07">
        <w:rPr>
          <w:rFonts w:ascii="Arial" w:hAnsi="Arial" w:cs="Arial"/>
          <w:color w:val="000000"/>
        </w:rPr>
        <w:t xml:space="preserve"> (note: stainless surfaces </w:t>
      </w:r>
      <w:r>
        <w:rPr>
          <w:rFonts w:ascii="Arial" w:hAnsi="Arial" w:cs="Arial"/>
          <w:color w:val="000000"/>
        </w:rPr>
        <w:t xml:space="preserve">exposed to bleach </w:t>
      </w:r>
      <w:r w:rsidR="005B46DD" w:rsidRPr="00611F07">
        <w:rPr>
          <w:rFonts w:ascii="Arial" w:hAnsi="Arial" w:cs="Arial"/>
          <w:color w:val="000000"/>
        </w:rPr>
        <w:t>will corrode if not rinsed)</w:t>
      </w:r>
      <w:r>
        <w:rPr>
          <w:rFonts w:ascii="Arial" w:hAnsi="Arial" w:cs="Arial"/>
          <w:color w:val="000000"/>
        </w:rPr>
        <w:t>.</w:t>
      </w:r>
    </w:p>
    <w:p w:rsidR="005B46DD" w:rsidRPr="005B46DD" w:rsidRDefault="005B46DD" w:rsidP="00611F07">
      <w:pPr>
        <w:pStyle w:val="NormalWeb"/>
        <w:numPr>
          <w:ilvl w:val="0"/>
          <w:numId w:val="44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5B46DD">
        <w:rPr>
          <w:rFonts w:ascii="Arial" w:hAnsi="Arial" w:cs="Arial"/>
          <w:color w:val="000000"/>
        </w:rPr>
        <w:t>Liquids</w:t>
      </w:r>
    </w:p>
    <w:p w:rsidR="00611F07" w:rsidRPr="00EB34CF" w:rsidRDefault="00B6318D" w:rsidP="00611F07">
      <w:pPr>
        <w:pStyle w:val="NormalWeb"/>
        <w:numPr>
          <w:ilvl w:val="1"/>
          <w:numId w:val="44"/>
        </w:numPr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B6318D">
        <w:rPr>
          <w:rFonts w:ascii="Arial" w:hAnsi="Arial" w:cs="Arial"/>
        </w:rPr>
        <w:t>All infectious liquids must be decontaminated or disinfected prior to being poured into drain</w:t>
      </w:r>
      <w:r w:rsidR="00961C00">
        <w:rPr>
          <w:rFonts w:ascii="Arial" w:hAnsi="Arial" w:cs="Arial"/>
        </w:rPr>
        <w:t>.</w:t>
      </w:r>
    </w:p>
    <w:p w:rsidR="00EB34CF" w:rsidRPr="00611F07" w:rsidRDefault="00EB34CF" w:rsidP="00611F07">
      <w:pPr>
        <w:pStyle w:val="NormalWeb"/>
        <w:numPr>
          <w:ilvl w:val="1"/>
          <w:numId w:val="44"/>
        </w:numPr>
        <w:spacing w:before="0" w:beforeAutospacing="0" w:after="0" w:afterAutospacing="0"/>
        <w:rPr>
          <w:rFonts w:ascii="Arial" w:hAnsi="Arial" w:cs="Arial"/>
          <w:i/>
          <w:color w:val="000000"/>
        </w:rPr>
      </w:pPr>
      <w:r>
        <w:rPr>
          <w:rFonts w:ascii="Arial" w:hAnsi="Arial" w:cs="Arial"/>
        </w:rPr>
        <w:t>Vacuum lines should be protected from contamination by liquid waste via HEPA filter or two flask system.</w:t>
      </w:r>
    </w:p>
    <w:p w:rsidR="00611F07" w:rsidRPr="00611F07" w:rsidRDefault="00611F07" w:rsidP="00611F07">
      <w:pPr>
        <w:pStyle w:val="NormalWeb"/>
        <w:numPr>
          <w:ilvl w:val="1"/>
          <w:numId w:val="44"/>
        </w:numPr>
        <w:spacing w:before="0" w:beforeAutospacing="0" w:after="0" w:afterAutospacing="0"/>
        <w:rPr>
          <w:rFonts w:ascii="Arial" w:hAnsi="Arial" w:cs="Arial"/>
          <w:i/>
          <w:color w:val="000000"/>
        </w:rPr>
      </w:pPr>
      <w:r>
        <w:rPr>
          <w:rFonts w:ascii="Arial" w:hAnsi="Arial" w:cs="Arial"/>
        </w:rPr>
        <w:t>Vacuum flasks should be emptied and cleaned at least once per week.</w:t>
      </w:r>
    </w:p>
    <w:p w:rsidR="005B46DD" w:rsidRPr="00611F07" w:rsidRDefault="00611F07" w:rsidP="00611F07">
      <w:pPr>
        <w:pStyle w:val="NormalWeb"/>
        <w:numPr>
          <w:ilvl w:val="1"/>
          <w:numId w:val="44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611F07">
        <w:rPr>
          <w:rFonts w:ascii="Arial" w:hAnsi="Arial" w:cs="Arial"/>
          <w:color w:val="000000"/>
        </w:rPr>
        <w:t>A</w:t>
      </w:r>
      <w:r w:rsidR="005B46DD" w:rsidRPr="00611F07">
        <w:rPr>
          <w:rFonts w:ascii="Arial" w:hAnsi="Arial" w:cs="Arial"/>
          <w:color w:val="000000"/>
        </w:rPr>
        <w:t>dd concentrated bleach to a final concentration of 10% bleach – treat for 30 minutes</w:t>
      </w:r>
      <w:r w:rsidR="00EB34CF">
        <w:rPr>
          <w:rFonts w:ascii="Arial" w:hAnsi="Arial" w:cs="Arial"/>
          <w:color w:val="000000"/>
        </w:rPr>
        <w:t>, pour into drain</w:t>
      </w:r>
      <w:r w:rsidR="00961C00" w:rsidRPr="00611F07">
        <w:rPr>
          <w:rFonts w:ascii="Arial" w:hAnsi="Arial" w:cs="Arial"/>
          <w:color w:val="000000"/>
        </w:rPr>
        <w:t>.</w:t>
      </w:r>
    </w:p>
    <w:p w:rsidR="005B46DD" w:rsidRPr="005B46DD" w:rsidRDefault="00960BCA" w:rsidP="00611F07">
      <w:pPr>
        <w:pStyle w:val="NormalWeb"/>
        <w:numPr>
          <w:ilvl w:val="0"/>
          <w:numId w:val="44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Solids</w:t>
      </w:r>
      <w:r w:rsidR="005B46DD" w:rsidRPr="005B46DD">
        <w:rPr>
          <w:rFonts w:ascii="Arial" w:hAnsi="Arial" w:cs="Arial"/>
          <w:color w:val="000000"/>
        </w:rPr>
        <w:t xml:space="preserve"> </w:t>
      </w:r>
    </w:p>
    <w:p w:rsidR="00961C00" w:rsidRPr="00611F07" w:rsidRDefault="00961C00" w:rsidP="00611F07">
      <w:pPr>
        <w:numPr>
          <w:ilvl w:val="1"/>
          <w:numId w:val="44"/>
        </w:numPr>
        <w:tabs>
          <w:tab w:val="left" w:pos="360"/>
        </w:tabs>
        <w:spacing w:after="0" w:line="240" w:lineRule="auto"/>
        <w:rPr>
          <w:rFonts w:ascii="Arial" w:hAnsi="Arial" w:cs="Arial"/>
          <w:color w:val="000000"/>
        </w:rPr>
      </w:pPr>
      <w:r w:rsidRPr="00961C00">
        <w:rPr>
          <w:rFonts w:ascii="Arial" w:hAnsi="Arial" w:cs="Arial"/>
          <w:sz w:val="24"/>
          <w:szCs w:val="24"/>
        </w:rPr>
        <w:lastRenderedPageBreak/>
        <w:t>All non-liquid contaminated cultures, stocks, plastic</w:t>
      </w:r>
      <w:r w:rsidR="00611F07">
        <w:rPr>
          <w:rFonts w:ascii="Arial" w:hAnsi="Arial" w:cs="Arial"/>
          <w:sz w:val="24"/>
          <w:szCs w:val="24"/>
        </w:rPr>
        <w:t>s</w:t>
      </w:r>
      <w:r w:rsidRPr="00961C00">
        <w:rPr>
          <w:rFonts w:ascii="Arial" w:hAnsi="Arial" w:cs="Arial"/>
          <w:sz w:val="24"/>
          <w:szCs w:val="24"/>
        </w:rPr>
        <w:t xml:space="preserve"> and other biologically contaminated waste (i.e. bench pads, gloves, paper towels) must be placed in biohazard containers.</w:t>
      </w:r>
    </w:p>
    <w:p w:rsidR="00611F07" w:rsidRPr="00961C00" w:rsidRDefault="00611F07" w:rsidP="00611F07">
      <w:pPr>
        <w:numPr>
          <w:ilvl w:val="1"/>
          <w:numId w:val="44"/>
        </w:numPr>
        <w:tabs>
          <w:tab w:val="left" w:pos="360"/>
        </w:tabs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>Solid waste that is not contaminated with biological material (packaging, paper, paper towels from handwashing) should be placed in a non-hazardous waste container (regular trash can).</w:t>
      </w:r>
    </w:p>
    <w:p w:rsidR="005B46DD" w:rsidRPr="00961C00" w:rsidRDefault="005B46DD" w:rsidP="00611F07">
      <w:pPr>
        <w:numPr>
          <w:ilvl w:val="1"/>
          <w:numId w:val="44"/>
        </w:numPr>
        <w:tabs>
          <w:tab w:val="left" w:pos="36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61C00">
        <w:rPr>
          <w:rFonts w:ascii="Arial" w:hAnsi="Arial" w:cs="Arial"/>
          <w:color w:val="000000"/>
          <w:sz w:val="24"/>
          <w:szCs w:val="24"/>
        </w:rPr>
        <w:t>Do not overfill</w:t>
      </w:r>
      <w:r w:rsidR="00611F07">
        <w:rPr>
          <w:rFonts w:ascii="Arial" w:hAnsi="Arial" w:cs="Arial"/>
          <w:color w:val="000000"/>
          <w:sz w:val="24"/>
          <w:szCs w:val="24"/>
        </w:rPr>
        <w:t xml:space="preserve"> biohazard boxes</w:t>
      </w:r>
      <w:r w:rsidRPr="00961C00">
        <w:rPr>
          <w:rFonts w:ascii="Arial" w:hAnsi="Arial" w:cs="Arial"/>
          <w:color w:val="000000"/>
          <w:sz w:val="24"/>
          <w:szCs w:val="24"/>
        </w:rPr>
        <w:t xml:space="preserve"> – Environmental Services will remove when they are 2/3 full.</w:t>
      </w:r>
    </w:p>
    <w:p w:rsidR="005B46DD" w:rsidRDefault="005B46DD" w:rsidP="00611F07">
      <w:pPr>
        <w:pStyle w:val="NormalWeb"/>
        <w:numPr>
          <w:ilvl w:val="1"/>
          <w:numId w:val="44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5B46DD">
        <w:rPr>
          <w:rFonts w:ascii="Arial" w:hAnsi="Arial" w:cs="Arial"/>
          <w:color w:val="000000"/>
        </w:rPr>
        <w:t>If waste containers are close to full and have not been removed, call 1-2434 to request new containers.</w:t>
      </w:r>
    </w:p>
    <w:p w:rsidR="00960BCA" w:rsidRDefault="00960BCA" w:rsidP="00611F07">
      <w:pPr>
        <w:pStyle w:val="NormalWeb"/>
        <w:numPr>
          <w:ilvl w:val="0"/>
          <w:numId w:val="44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Sharps</w:t>
      </w:r>
    </w:p>
    <w:p w:rsidR="00EB34CF" w:rsidRDefault="00EB34CF" w:rsidP="00EB34CF">
      <w:pPr>
        <w:numPr>
          <w:ilvl w:val="1"/>
          <w:numId w:val="44"/>
        </w:numPr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Reusable sharps should be stored in hard walled containers when not in use.</w:t>
      </w:r>
    </w:p>
    <w:p w:rsidR="009E2D4B" w:rsidRPr="00EB34CF" w:rsidRDefault="00611F07" w:rsidP="00EB34CF">
      <w:pPr>
        <w:numPr>
          <w:ilvl w:val="1"/>
          <w:numId w:val="44"/>
        </w:numPr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 disposable sharps in a</w:t>
      </w:r>
      <w:r w:rsidR="00EB34CF">
        <w:rPr>
          <w:rFonts w:ascii="Arial" w:hAnsi="Arial" w:cs="Arial"/>
          <w:sz w:val="24"/>
          <w:szCs w:val="24"/>
        </w:rPr>
        <w:t>n approved</w:t>
      </w:r>
      <w:r>
        <w:rPr>
          <w:rFonts w:ascii="Arial" w:hAnsi="Arial" w:cs="Arial"/>
          <w:sz w:val="24"/>
          <w:szCs w:val="24"/>
        </w:rPr>
        <w:t xml:space="preserve"> sharps container immediately after use.</w:t>
      </w:r>
    </w:p>
    <w:p w:rsidR="00EB34CF" w:rsidRPr="00961C00" w:rsidRDefault="00EB34CF" w:rsidP="00EB34CF">
      <w:pPr>
        <w:numPr>
          <w:ilvl w:val="1"/>
          <w:numId w:val="44"/>
        </w:numPr>
        <w:tabs>
          <w:tab w:val="left" w:pos="36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61C00">
        <w:rPr>
          <w:rFonts w:ascii="Arial" w:hAnsi="Arial" w:cs="Arial"/>
          <w:color w:val="000000"/>
          <w:sz w:val="24"/>
          <w:szCs w:val="24"/>
        </w:rPr>
        <w:t>Do not overfill</w:t>
      </w:r>
      <w:r>
        <w:rPr>
          <w:rFonts w:ascii="Arial" w:hAnsi="Arial" w:cs="Arial"/>
          <w:color w:val="000000"/>
          <w:sz w:val="24"/>
          <w:szCs w:val="24"/>
        </w:rPr>
        <w:t xml:space="preserve"> sharps</w:t>
      </w:r>
      <w:r w:rsidRPr="00961C00">
        <w:rPr>
          <w:rFonts w:ascii="Arial" w:hAnsi="Arial" w:cs="Arial"/>
          <w:color w:val="000000"/>
          <w:sz w:val="24"/>
          <w:szCs w:val="24"/>
        </w:rPr>
        <w:t xml:space="preserve"> – Environmental Services will remove when they are 2/3 full.</w:t>
      </w:r>
    </w:p>
    <w:p w:rsidR="00EB34CF" w:rsidRDefault="00EB34CF" w:rsidP="00EB34CF">
      <w:pPr>
        <w:pStyle w:val="NormalWeb"/>
        <w:numPr>
          <w:ilvl w:val="1"/>
          <w:numId w:val="44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5B46DD">
        <w:rPr>
          <w:rFonts w:ascii="Arial" w:hAnsi="Arial" w:cs="Arial"/>
          <w:color w:val="000000"/>
        </w:rPr>
        <w:t>If waste containers are close to full and have not been removed, call 1-2434 to request new containers.</w:t>
      </w:r>
    </w:p>
    <w:p w:rsidR="00960BCA" w:rsidRDefault="00960BCA" w:rsidP="00611F0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5B46DD" w:rsidRPr="005B46DD" w:rsidRDefault="00961C00" w:rsidP="00EB34CF">
      <w:pPr>
        <w:pStyle w:val="NormalWeb"/>
        <w:spacing w:before="0" w:beforeAutospacing="0" w:after="60" w:afterAutospacing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Biological materials </w:t>
      </w:r>
      <w:r w:rsidR="005B46DD" w:rsidRPr="005B46DD">
        <w:rPr>
          <w:rFonts w:ascii="Arial" w:hAnsi="Arial" w:cs="Arial"/>
          <w:b/>
          <w:color w:val="000000"/>
        </w:rPr>
        <w:t>storage procedures:</w:t>
      </w:r>
    </w:p>
    <w:p w:rsidR="005B46DD" w:rsidRPr="005B46DD" w:rsidRDefault="005B46DD" w:rsidP="00EB34CF">
      <w:pPr>
        <w:pStyle w:val="NormalWeb"/>
        <w:numPr>
          <w:ilvl w:val="0"/>
          <w:numId w:val="45"/>
        </w:numPr>
        <w:spacing w:before="0" w:beforeAutospacing="0" w:after="60" w:afterAutospacing="0"/>
        <w:rPr>
          <w:rFonts w:ascii="Arial" w:hAnsi="Arial" w:cs="Arial"/>
          <w:color w:val="000000"/>
        </w:rPr>
      </w:pPr>
      <w:r w:rsidRPr="005B46DD">
        <w:rPr>
          <w:rFonts w:ascii="Arial" w:hAnsi="Arial" w:cs="Arial"/>
          <w:color w:val="000000"/>
        </w:rPr>
        <w:t xml:space="preserve">Refrigerators and freezers where </w:t>
      </w:r>
      <w:r w:rsidR="00961C00">
        <w:rPr>
          <w:rFonts w:ascii="Arial" w:hAnsi="Arial" w:cs="Arial"/>
          <w:color w:val="000000"/>
        </w:rPr>
        <w:t>biological materials</w:t>
      </w:r>
      <w:r w:rsidRPr="005B46DD">
        <w:rPr>
          <w:rFonts w:ascii="Arial" w:hAnsi="Arial" w:cs="Arial"/>
          <w:color w:val="000000"/>
        </w:rPr>
        <w:t xml:space="preserve"> are stored will only be accessible to authorized personnel.</w:t>
      </w:r>
    </w:p>
    <w:p w:rsidR="005B46DD" w:rsidRDefault="005B46DD" w:rsidP="00EB34CF">
      <w:pPr>
        <w:pStyle w:val="NormalWeb"/>
        <w:numPr>
          <w:ilvl w:val="0"/>
          <w:numId w:val="45"/>
        </w:numPr>
        <w:spacing w:before="0" w:beforeAutospacing="0" w:after="240" w:afterAutospacing="0"/>
        <w:rPr>
          <w:rFonts w:ascii="Arial" w:hAnsi="Arial" w:cs="Arial"/>
          <w:color w:val="000000"/>
        </w:rPr>
      </w:pPr>
      <w:r w:rsidRPr="005B46DD">
        <w:rPr>
          <w:rFonts w:ascii="Arial" w:hAnsi="Arial" w:cs="Arial"/>
          <w:color w:val="000000"/>
        </w:rPr>
        <w:t xml:space="preserve">Locations where </w:t>
      </w:r>
      <w:r w:rsidR="00961C00">
        <w:rPr>
          <w:rFonts w:ascii="Arial" w:hAnsi="Arial" w:cs="Arial"/>
          <w:color w:val="000000"/>
        </w:rPr>
        <w:t>biological materials</w:t>
      </w:r>
      <w:r w:rsidRPr="005B46DD">
        <w:rPr>
          <w:rFonts w:ascii="Arial" w:hAnsi="Arial" w:cs="Arial"/>
          <w:color w:val="000000"/>
        </w:rPr>
        <w:t xml:space="preserve"> are stored will be marked with biohazard stickers.</w:t>
      </w:r>
    </w:p>
    <w:p w:rsidR="00961C00" w:rsidRDefault="00961C00" w:rsidP="00BB197F">
      <w:pPr>
        <w:pStyle w:val="NormalWeb"/>
        <w:spacing w:before="0" w:beforeAutospacing="0" w:after="60" w:afterAutospacing="0"/>
        <w:rPr>
          <w:rFonts w:ascii="Arial" w:hAnsi="Arial" w:cs="Arial"/>
          <w:b/>
          <w:color w:val="000000"/>
        </w:rPr>
      </w:pPr>
      <w:r w:rsidRPr="00961C00">
        <w:rPr>
          <w:rFonts w:ascii="Arial" w:hAnsi="Arial" w:cs="Arial"/>
          <w:b/>
          <w:color w:val="000000"/>
        </w:rPr>
        <w:t>Animal waste</w:t>
      </w:r>
      <w:r>
        <w:rPr>
          <w:rFonts w:ascii="Arial" w:hAnsi="Arial" w:cs="Arial"/>
          <w:b/>
          <w:color w:val="000000"/>
        </w:rPr>
        <w:t>:</w:t>
      </w:r>
    </w:p>
    <w:p w:rsidR="00BB197F" w:rsidRDefault="00BB197F" w:rsidP="00BB197F">
      <w:pPr>
        <w:pStyle w:val="NormalWeb"/>
        <w:numPr>
          <w:ilvl w:val="0"/>
          <w:numId w:val="46"/>
        </w:numPr>
        <w:spacing w:before="0" w:beforeAutospacing="0" w:after="6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Soiled cages/bedding and animal carcasses/tissues must be returned to the appropriate animal facility of origin for disposal (cages/bedding or carcasses/tissues should not be placed in laboratory waste containers). </w:t>
      </w:r>
    </w:p>
    <w:p w:rsidR="00961C00" w:rsidRPr="00961C00" w:rsidRDefault="00BB197F" w:rsidP="00BB197F">
      <w:pPr>
        <w:pStyle w:val="NormalWeb"/>
        <w:numPr>
          <w:ilvl w:val="0"/>
          <w:numId w:val="46"/>
        </w:numPr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="00961C00">
        <w:rPr>
          <w:rFonts w:ascii="Arial" w:hAnsi="Arial" w:cs="Arial"/>
          <w:color w:val="000000"/>
        </w:rPr>
        <w:t xml:space="preserve">nimal carcasses </w:t>
      </w:r>
      <w:r>
        <w:rPr>
          <w:rFonts w:ascii="Arial" w:hAnsi="Arial" w:cs="Arial"/>
          <w:color w:val="000000"/>
        </w:rPr>
        <w:t>may be stored temporarily in a plastic bag in a laboratory freezer; temporary storage must be emptied regularly</w:t>
      </w:r>
      <w:r w:rsidR="00961C00">
        <w:rPr>
          <w:rFonts w:ascii="Arial" w:hAnsi="Arial" w:cs="Arial"/>
          <w:color w:val="000000"/>
        </w:rPr>
        <w:t>.</w:t>
      </w:r>
    </w:p>
    <w:p w:rsidR="005B46DD" w:rsidRPr="005B46DD" w:rsidRDefault="005B46DD" w:rsidP="00BB197F">
      <w:pPr>
        <w:pStyle w:val="NormalWeb"/>
        <w:spacing w:before="0" w:beforeAutospacing="0" w:after="60" w:afterAutospacing="0"/>
        <w:rPr>
          <w:rFonts w:ascii="Arial" w:hAnsi="Arial" w:cs="Arial"/>
          <w:b/>
          <w:bCs/>
          <w:color w:val="000000"/>
        </w:rPr>
      </w:pPr>
      <w:r w:rsidRPr="005B46DD">
        <w:rPr>
          <w:rFonts w:ascii="Arial" w:hAnsi="Arial" w:cs="Arial"/>
          <w:b/>
          <w:bCs/>
          <w:color w:val="000000"/>
        </w:rPr>
        <w:t>Transport of specimens:</w:t>
      </w:r>
    </w:p>
    <w:p w:rsidR="00BB197F" w:rsidRDefault="005B46DD" w:rsidP="00BB197F">
      <w:pPr>
        <w:pStyle w:val="NormalWeb"/>
        <w:numPr>
          <w:ilvl w:val="0"/>
          <w:numId w:val="47"/>
        </w:numPr>
        <w:spacing w:before="0" w:beforeAutospacing="0" w:after="60" w:afterAutospacing="0"/>
        <w:rPr>
          <w:rFonts w:ascii="Arial" w:hAnsi="Arial" w:cs="Arial"/>
          <w:color w:val="000000"/>
        </w:rPr>
      </w:pPr>
      <w:r w:rsidRPr="005B46DD">
        <w:rPr>
          <w:rFonts w:ascii="Arial" w:hAnsi="Arial" w:cs="Arial"/>
          <w:color w:val="000000"/>
        </w:rPr>
        <w:t>This SOP is only applicable for transport of samples from one location to another without leaving the campus.  Shipping or transport of biological materials to or from an off-campus location (or between campuses, i.e. from Summerville to the Health Sciences Campus) requires specific training – contact the Biological Safety Office for more information.</w:t>
      </w:r>
    </w:p>
    <w:p w:rsidR="00BB197F" w:rsidRDefault="005B46DD" w:rsidP="00BB197F">
      <w:pPr>
        <w:pStyle w:val="NormalWeb"/>
        <w:numPr>
          <w:ilvl w:val="0"/>
          <w:numId w:val="47"/>
        </w:numPr>
        <w:spacing w:before="0" w:beforeAutospacing="0" w:after="60" w:afterAutospacing="0"/>
        <w:rPr>
          <w:rFonts w:ascii="Arial" w:hAnsi="Arial" w:cs="Arial"/>
          <w:color w:val="000000"/>
        </w:rPr>
      </w:pPr>
      <w:r w:rsidRPr="00BB197F">
        <w:rPr>
          <w:rFonts w:ascii="Arial" w:hAnsi="Arial" w:cs="Arial"/>
          <w:color w:val="000000"/>
        </w:rPr>
        <w:t>Samples must be placed in a leak proof, puncture proof outer container for transport (i.e. a Rubbermaid type container)</w:t>
      </w:r>
    </w:p>
    <w:p w:rsidR="005B46DD" w:rsidRDefault="005B46DD" w:rsidP="00BB197F">
      <w:pPr>
        <w:pStyle w:val="NormalWeb"/>
        <w:numPr>
          <w:ilvl w:val="0"/>
          <w:numId w:val="47"/>
        </w:numPr>
        <w:spacing w:before="0" w:beforeAutospacing="0" w:after="60" w:afterAutospacing="0"/>
        <w:rPr>
          <w:rFonts w:ascii="Arial" w:hAnsi="Arial" w:cs="Arial"/>
          <w:color w:val="000000"/>
        </w:rPr>
      </w:pPr>
      <w:r w:rsidRPr="00BB197F">
        <w:rPr>
          <w:rFonts w:ascii="Arial" w:hAnsi="Arial" w:cs="Arial"/>
          <w:color w:val="000000"/>
        </w:rPr>
        <w:t>Outer container must be labeled with contact information and a biohazard sticker.</w:t>
      </w:r>
    </w:p>
    <w:p w:rsidR="00BB197F" w:rsidRPr="00BB197F" w:rsidRDefault="00BB197F" w:rsidP="00BB197F">
      <w:pPr>
        <w:pStyle w:val="NormalWeb"/>
        <w:numPr>
          <w:ilvl w:val="0"/>
          <w:numId w:val="47"/>
        </w:numPr>
        <w:spacing w:before="0" w:beforeAutospacing="0" w:after="6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Decontaminate outer container before removing from the laboratory.</w:t>
      </w:r>
    </w:p>
    <w:p w:rsidR="007A02DD" w:rsidRPr="00BB197F" w:rsidRDefault="005B46DD" w:rsidP="00BB197F">
      <w:pPr>
        <w:pStyle w:val="NormalWeb"/>
        <w:numPr>
          <w:ilvl w:val="0"/>
          <w:numId w:val="47"/>
        </w:numPr>
        <w:spacing w:before="0" w:beforeAutospacing="0" w:after="240" w:afterAutospacing="0"/>
        <w:rPr>
          <w:rFonts w:ascii="Arial" w:hAnsi="Arial" w:cs="Arial"/>
          <w:color w:val="000000"/>
        </w:rPr>
      </w:pPr>
      <w:r w:rsidRPr="005B46DD">
        <w:rPr>
          <w:rFonts w:ascii="Arial" w:hAnsi="Arial" w:cs="Arial"/>
          <w:color w:val="000000"/>
        </w:rPr>
        <w:t>If a biological spill occurs during transport, contact the Biological Safety Office (</w:t>
      </w:r>
      <w:r w:rsidR="002101BE">
        <w:rPr>
          <w:rFonts w:ascii="Arial" w:hAnsi="Arial" w:cs="Arial"/>
          <w:color w:val="000000"/>
        </w:rPr>
        <w:t>706-72</w:t>
      </w:r>
      <w:r w:rsidR="00BB197F">
        <w:rPr>
          <w:rFonts w:ascii="Arial" w:hAnsi="Arial" w:cs="Arial"/>
          <w:color w:val="000000"/>
        </w:rPr>
        <w:t>1-2663) for assistance.</w:t>
      </w:r>
    </w:p>
    <w:p w:rsidR="007A02DD" w:rsidRDefault="002101BE" w:rsidP="00BB197F">
      <w:pPr>
        <w:pStyle w:val="NormalWeb"/>
        <w:spacing w:before="0" w:beforeAutospacing="0" w:after="60" w:afterAutospacing="0"/>
        <w:ind w:left="36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Biological s</w:t>
      </w:r>
      <w:r w:rsidR="007A02DD" w:rsidRPr="007A02DD">
        <w:rPr>
          <w:rFonts w:ascii="Arial" w:hAnsi="Arial" w:cs="Arial"/>
          <w:b/>
          <w:color w:val="000000"/>
        </w:rPr>
        <w:t>pills</w:t>
      </w:r>
      <w:r>
        <w:rPr>
          <w:rFonts w:ascii="Arial" w:hAnsi="Arial" w:cs="Arial"/>
          <w:b/>
          <w:color w:val="000000"/>
        </w:rPr>
        <w:t>/accidents/exposures</w:t>
      </w:r>
      <w:r w:rsidR="007A02DD">
        <w:rPr>
          <w:rFonts w:ascii="Arial" w:hAnsi="Arial" w:cs="Arial"/>
          <w:b/>
          <w:color w:val="000000"/>
        </w:rPr>
        <w:t>:</w:t>
      </w:r>
    </w:p>
    <w:p w:rsidR="002101BE" w:rsidRPr="002101BE" w:rsidRDefault="002101BE" w:rsidP="00BB197F">
      <w:pPr>
        <w:numPr>
          <w:ilvl w:val="0"/>
          <w:numId w:val="47"/>
        </w:numPr>
        <w:tabs>
          <w:tab w:val="left" w:pos="360"/>
        </w:tabs>
        <w:spacing w:after="60" w:line="240" w:lineRule="auto"/>
        <w:rPr>
          <w:rFonts w:ascii="Arial" w:hAnsi="Arial" w:cs="Arial"/>
          <w:sz w:val="24"/>
          <w:szCs w:val="24"/>
        </w:rPr>
      </w:pPr>
      <w:r w:rsidRPr="002101BE">
        <w:rPr>
          <w:rFonts w:ascii="Arial" w:hAnsi="Arial" w:cs="Arial"/>
          <w:sz w:val="24"/>
          <w:szCs w:val="24"/>
        </w:rPr>
        <w:t xml:space="preserve">Spills and </w:t>
      </w:r>
      <w:r w:rsidR="00BB197F">
        <w:rPr>
          <w:rFonts w:ascii="Arial" w:hAnsi="Arial" w:cs="Arial"/>
          <w:sz w:val="24"/>
          <w:szCs w:val="24"/>
        </w:rPr>
        <w:t xml:space="preserve">laboratory </w:t>
      </w:r>
      <w:r w:rsidRPr="002101BE">
        <w:rPr>
          <w:rFonts w:ascii="Arial" w:hAnsi="Arial" w:cs="Arial"/>
          <w:sz w:val="24"/>
          <w:szCs w:val="24"/>
        </w:rPr>
        <w:t xml:space="preserve">accidents that result in </w:t>
      </w:r>
      <w:r w:rsidR="00BB197F">
        <w:rPr>
          <w:rFonts w:ascii="Arial" w:hAnsi="Arial" w:cs="Arial"/>
          <w:sz w:val="24"/>
          <w:szCs w:val="24"/>
        </w:rPr>
        <w:t>exposure</w:t>
      </w:r>
      <w:r w:rsidRPr="002101BE">
        <w:rPr>
          <w:rFonts w:ascii="Arial" w:hAnsi="Arial" w:cs="Arial"/>
          <w:sz w:val="24"/>
          <w:szCs w:val="24"/>
        </w:rPr>
        <w:t xml:space="preserve"> to </w:t>
      </w:r>
      <w:r w:rsidR="00BB197F">
        <w:rPr>
          <w:rFonts w:ascii="Arial" w:hAnsi="Arial" w:cs="Arial"/>
          <w:sz w:val="24"/>
          <w:szCs w:val="24"/>
        </w:rPr>
        <w:t>biological</w:t>
      </w:r>
      <w:r w:rsidRPr="002101BE">
        <w:rPr>
          <w:rFonts w:ascii="Arial" w:hAnsi="Arial" w:cs="Arial"/>
          <w:sz w:val="24"/>
          <w:szCs w:val="24"/>
        </w:rPr>
        <w:t xml:space="preserve"> materials must be immediately reported to the Principal Investigator </w:t>
      </w:r>
      <w:r>
        <w:rPr>
          <w:rFonts w:ascii="Arial" w:hAnsi="Arial" w:cs="Arial"/>
          <w:sz w:val="24"/>
          <w:szCs w:val="24"/>
        </w:rPr>
        <w:t>and the Biological Safety Office.</w:t>
      </w:r>
    </w:p>
    <w:p w:rsidR="002101BE" w:rsidRDefault="007A02DD" w:rsidP="00BB197F">
      <w:pPr>
        <w:pStyle w:val="NormalWeb"/>
        <w:numPr>
          <w:ilvl w:val="0"/>
          <w:numId w:val="47"/>
        </w:numPr>
        <w:spacing w:before="0" w:beforeAutospacing="0" w:after="6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All spills, injuries or exposures involving recombinant or sy</w:t>
      </w:r>
      <w:r w:rsidR="00BB197F">
        <w:rPr>
          <w:rFonts w:ascii="Arial" w:hAnsi="Arial" w:cs="Arial"/>
          <w:color w:val="000000"/>
        </w:rPr>
        <w:t xml:space="preserve">nthetic nucleic acids must be immediately </w:t>
      </w:r>
      <w:r>
        <w:rPr>
          <w:rFonts w:ascii="Arial" w:hAnsi="Arial" w:cs="Arial"/>
          <w:color w:val="000000"/>
        </w:rPr>
        <w:t xml:space="preserve">reported </w:t>
      </w:r>
      <w:r w:rsidR="002101BE">
        <w:rPr>
          <w:rFonts w:ascii="Arial" w:hAnsi="Arial" w:cs="Arial"/>
          <w:color w:val="000000"/>
        </w:rPr>
        <w:t>to the Principal Investigator and the Biological Safety Office.</w:t>
      </w:r>
    </w:p>
    <w:p w:rsidR="00C02A3A" w:rsidRPr="002101BE" w:rsidRDefault="005B46DD" w:rsidP="00BB197F">
      <w:pPr>
        <w:pStyle w:val="NormalWeb"/>
        <w:numPr>
          <w:ilvl w:val="0"/>
          <w:numId w:val="47"/>
        </w:numPr>
        <w:spacing w:before="0" w:beforeAutospacing="0" w:after="60" w:afterAutospacing="0"/>
        <w:rPr>
          <w:rFonts w:ascii="Arial" w:hAnsi="Arial" w:cs="Arial"/>
          <w:color w:val="000000"/>
        </w:rPr>
      </w:pPr>
      <w:r w:rsidRPr="002101BE">
        <w:rPr>
          <w:rFonts w:ascii="Arial" w:hAnsi="Arial" w:cs="Arial"/>
          <w:color w:val="000000"/>
        </w:rPr>
        <w:t xml:space="preserve">Please consult </w:t>
      </w:r>
      <w:r w:rsidR="00BB197F">
        <w:rPr>
          <w:rFonts w:ascii="Arial" w:hAnsi="Arial" w:cs="Arial"/>
          <w:color w:val="000000"/>
        </w:rPr>
        <w:t xml:space="preserve">Augusta University’s Emergency Response flipchart and </w:t>
      </w:r>
      <w:r w:rsidRPr="002101BE">
        <w:rPr>
          <w:rFonts w:ascii="Arial" w:hAnsi="Arial" w:cs="Arial"/>
          <w:color w:val="000000"/>
        </w:rPr>
        <w:t>the B</w:t>
      </w:r>
      <w:r w:rsidR="00584E93" w:rsidRPr="002101BE">
        <w:rPr>
          <w:rFonts w:ascii="Arial" w:hAnsi="Arial" w:cs="Arial"/>
          <w:color w:val="000000"/>
        </w:rPr>
        <w:t xml:space="preserve">iological Safety Office webpage </w:t>
      </w:r>
      <w:r w:rsidRPr="002101BE">
        <w:rPr>
          <w:rFonts w:ascii="Arial" w:hAnsi="Arial" w:cs="Arial"/>
          <w:color w:val="000000"/>
        </w:rPr>
        <w:t xml:space="preserve">for guidance documents that are specific to spill clean-up, accidents and injuries: </w:t>
      </w:r>
      <w:hyperlink r:id="rId7" w:history="1">
        <w:r w:rsidR="002101BE" w:rsidRPr="002101BE">
          <w:rPr>
            <w:rStyle w:val="Hyperlink"/>
            <w:rFonts w:ascii="Arial" w:hAnsi="Arial" w:cs="Arial"/>
          </w:rPr>
          <w:t>http://www.augusta.edu/services/ehs/biosafe/</w:t>
        </w:r>
      </w:hyperlink>
      <w:r w:rsidR="00BB197F">
        <w:rPr>
          <w:rStyle w:val="Hyperlink"/>
          <w:rFonts w:ascii="Arial" w:hAnsi="Arial" w:cs="Arial"/>
        </w:rPr>
        <w:t>.</w:t>
      </w:r>
    </w:p>
    <w:p w:rsidR="00C02A3A" w:rsidRPr="00C02A3A" w:rsidRDefault="00C02A3A" w:rsidP="00BB197F">
      <w:pPr>
        <w:pStyle w:val="NormalWeb"/>
        <w:spacing w:before="0" w:beforeAutospacing="0" w:after="60" w:afterAutospacing="0"/>
        <w:rPr>
          <w:rFonts w:ascii="Arial" w:hAnsi="Arial" w:cs="Arial"/>
          <w:b/>
          <w:sz w:val="2"/>
          <w:szCs w:val="2"/>
        </w:rPr>
      </w:pPr>
    </w:p>
    <w:sectPr w:rsidR="00C02A3A" w:rsidRPr="00C02A3A" w:rsidSect="00C02A3A">
      <w:headerReference w:type="default" r:id="rId8"/>
      <w:footerReference w:type="default" r:id="rId9"/>
      <w:pgSz w:w="12240" w:h="15840"/>
      <w:pgMar w:top="245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F3A" w:rsidRDefault="006F6F3A" w:rsidP="007F7C35">
      <w:pPr>
        <w:spacing w:after="0" w:line="240" w:lineRule="auto"/>
      </w:pPr>
      <w:r>
        <w:separator/>
      </w:r>
    </w:p>
  </w:endnote>
  <w:endnote w:type="continuationSeparator" w:id="0">
    <w:p w:rsidR="006F6F3A" w:rsidRDefault="006F6F3A" w:rsidP="007F7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14397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797A" w:rsidRDefault="00C6797A" w:rsidP="00C6797A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24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7C35" w:rsidRPr="00C6797A" w:rsidRDefault="00DC1230">
    <w:pPr>
      <w:pStyle w:val="Footer"/>
      <w:rPr>
        <w:sz w:val="18"/>
        <w:szCs w:val="18"/>
      </w:rPr>
    </w:pPr>
    <w:r>
      <w:rPr>
        <w:sz w:val="18"/>
        <w:szCs w:val="18"/>
      </w:rPr>
      <w:t xml:space="preserve">Version </w:t>
    </w:r>
    <w:r w:rsidR="002967C4">
      <w:rPr>
        <w:sz w:val="18"/>
        <w:szCs w:val="18"/>
      </w:rPr>
      <w:t>02.16.2017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F3A" w:rsidRDefault="006F6F3A" w:rsidP="007F7C35">
      <w:pPr>
        <w:spacing w:after="0" w:line="240" w:lineRule="auto"/>
      </w:pPr>
      <w:r>
        <w:separator/>
      </w:r>
    </w:p>
  </w:footnote>
  <w:footnote w:type="continuationSeparator" w:id="0">
    <w:p w:rsidR="006F6F3A" w:rsidRDefault="006F6F3A" w:rsidP="007F7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8D7" w:rsidRDefault="00C02A3A" w:rsidP="00DC38D7">
    <w:pPr>
      <w:pStyle w:val="Header"/>
      <w:ind w:left="-1080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5E0B7C3" wp14:editId="48F69B77">
              <wp:simplePos x="0" y="0"/>
              <wp:positionH relativeFrom="column">
                <wp:posOffset>4904509</wp:posOffset>
              </wp:positionH>
              <wp:positionV relativeFrom="paragraph">
                <wp:posOffset>-187037</wp:posOffset>
              </wp:positionV>
              <wp:extent cx="1627909" cy="67194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7909" cy="6719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02A3A" w:rsidRDefault="00C02A3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A54B160" wp14:editId="0E256D65">
                                <wp:extent cx="1660041" cy="824345"/>
                                <wp:effectExtent l="0" t="0" r="0" b="0"/>
                                <wp:docPr id="28" name="Picture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AugustaUniversity_H_RGB (1)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12761" cy="8505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75E0B7C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386.2pt;margin-top:-14.75pt;width:128.2pt;height:52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" filled="f" stroked="f" strokeweight=".5pt">
              <v:textbox>
                <w:txbxContent>
                  <w:p w:rsidR="00C02A3A" w:rsidRDefault="00C02A3A">
                    <w:r>
                      <w:rPr>
                        <w:noProof/>
                      </w:rPr>
                      <w:drawing>
                        <wp:inline distT="0" distB="0" distL="0" distR="0" wp14:anchorId="2A54B160" wp14:editId="0E256D65">
                          <wp:extent cx="1660041" cy="824345"/>
                          <wp:effectExtent l="0" t="0" r="0" b="0"/>
                          <wp:docPr id="28" name="Picture 2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AugustaUniversity_H_RGB (1)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12761" cy="8505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C38D7" w:rsidRPr="00DC38D7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7B7062A" wp14:editId="03743C3F">
              <wp:simplePos x="0" y="0"/>
              <wp:positionH relativeFrom="column">
                <wp:posOffset>47625</wp:posOffset>
              </wp:positionH>
              <wp:positionV relativeFrom="paragraph">
                <wp:posOffset>142875</wp:posOffset>
              </wp:positionV>
              <wp:extent cx="4050665" cy="368935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0665" cy="3689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38D7" w:rsidRPr="00DC38D7" w:rsidRDefault="00DC38D7" w:rsidP="00DC38D7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b/>
                              <w:i/>
                              <w:iCs/>
                              <w:color w:val="8DB3E2" w:themeColor="text2" w:themeTint="66"/>
                              <w:kern w:val="24"/>
                            </w:rPr>
                          </w:pPr>
                          <w:r w:rsidRPr="00DC38D7">
                            <w:rPr>
                              <w:rFonts w:asciiTheme="minorHAnsi" w:hAnsi="Calibri" w:cstheme="minorBidi"/>
                              <w:b/>
                              <w:i/>
                              <w:iCs/>
                              <w:color w:val="8DB3E2" w:themeColor="text2" w:themeTint="66"/>
                              <w:kern w:val="24"/>
                            </w:rPr>
                            <w:t>Environmental Health and Safety Division</w:t>
                          </w:r>
                        </w:p>
                        <w:p w:rsidR="00DC38D7" w:rsidRPr="00DC38D7" w:rsidRDefault="00DC38D7" w:rsidP="00DC38D7">
                          <w:pPr>
                            <w:pStyle w:val="NormalWeb"/>
                            <w:spacing w:before="0" w:beforeAutospacing="0" w:after="0" w:afterAutospacing="0"/>
                            <w:rPr>
                              <w:b/>
                            </w:rPr>
                          </w:pPr>
                          <w:r w:rsidRPr="00DC38D7">
                            <w:rPr>
                              <w:rFonts w:asciiTheme="minorHAnsi" w:hAnsi="Calibri" w:cstheme="minorBidi"/>
                              <w:b/>
                              <w:i/>
                              <w:iCs/>
                              <w:color w:val="8DB3E2" w:themeColor="text2" w:themeTint="66"/>
                              <w:kern w:val="24"/>
                            </w:rPr>
                            <w:t>Biological Safety Office</w:t>
                          </w: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37B7062A" id="TextBox 5" o:spid="_x0000_s1027" type="#_x0000_t202" style="position:absolute;left:0;text-align:left;margin-left:3.75pt;margin-top:11.25pt;width:318.95pt;height:29.05pt;z-index:251659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" filled="f" stroked="f">
              <v:textbox style="mso-fit-shape-to-text:t">
                <w:txbxContent>
                  <w:p w:rsidR="00DC38D7" w:rsidRPr="00DC38D7" w:rsidRDefault="00DC38D7" w:rsidP="00DC38D7">
                    <w:pPr>
                      <w:pStyle w:val="NormalWeb"/>
                      <w:spacing w:before="0" w:beforeAutospacing="0" w:after="0" w:afterAutospacing="0"/>
                      <w:rPr>
                        <w:rFonts w:asciiTheme="minorHAnsi" w:hAnsi="Calibri" w:cstheme="minorBidi"/>
                        <w:b/>
                        <w:i/>
                        <w:iCs/>
                        <w:color w:val="8DB3E2" w:themeColor="text2" w:themeTint="66"/>
                        <w:kern w:val="24"/>
                      </w:rPr>
                    </w:pPr>
                    <w:r w:rsidRPr="00DC38D7">
                      <w:rPr>
                        <w:rFonts w:asciiTheme="minorHAnsi" w:hAnsi="Calibri" w:cstheme="minorBidi"/>
                        <w:b/>
                        <w:i/>
                        <w:iCs/>
                        <w:color w:val="8DB3E2" w:themeColor="text2" w:themeTint="66"/>
                        <w:kern w:val="24"/>
                      </w:rPr>
                      <w:t>Environmental Health and Safety Division</w:t>
                    </w:r>
                  </w:p>
                  <w:p w:rsidR="00DC38D7" w:rsidRPr="00DC38D7" w:rsidRDefault="00DC38D7" w:rsidP="00DC38D7">
                    <w:pPr>
                      <w:pStyle w:val="NormalWeb"/>
                      <w:spacing w:before="0" w:beforeAutospacing="0" w:after="0" w:afterAutospacing="0"/>
                      <w:rPr>
                        <w:b/>
                      </w:rPr>
                    </w:pPr>
                    <w:r w:rsidRPr="00DC38D7">
                      <w:rPr>
                        <w:rFonts w:asciiTheme="minorHAnsi" w:hAnsi="Calibri" w:cstheme="minorBidi"/>
                        <w:b/>
                        <w:i/>
                        <w:iCs/>
                        <w:color w:val="8DB3E2" w:themeColor="text2" w:themeTint="66"/>
                        <w:kern w:val="24"/>
                      </w:rPr>
                      <w:t>Biological Safety Office</w:t>
                    </w:r>
                  </w:p>
                </w:txbxContent>
              </v:textbox>
            </v:shape>
          </w:pict>
        </mc:Fallback>
      </mc:AlternateContent>
    </w:r>
    <w:r w:rsidR="00DC38D7" w:rsidRPr="00DC38D7">
      <w:rPr>
        <w:rFonts w:ascii="Arial" w:hAnsi="Arial" w:cs="Arial"/>
        <w:b/>
        <w:noProof/>
        <w:sz w:val="36"/>
        <w:szCs w:val="36"/>
      </w:rPr>
      <w:drawing>
        <wp:inline distT="0" distB="0" distL="0" distR="0" wp14:anchorId="1D37FF33" wp14:editId="084617DB">
          <wp:extent cx="685800" cy="685800"/>
          <wp:effectExtent l="0" t="0" r="0" b="0"/>
          <wp:docPr id="2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019" cy="688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50BA">
      <w:tab/>
    </w:r>
    <w:r w:rsidR="00BF50BA">
      <w:tab/>
      <w:t xml:space="preserve">    </w:t>
    </w:r>
    <w:r w:rsidR="00DC38D7">
      <w:tab/>
    </w:r>
  </w:p>
  <w:p w:rsidR="00DC38D7" w:rsidRDefault="00DC38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2208"/>
    <w:multiLevelType w:val="hybridMultilevel"/>
    <w:tmpl w:val="A6383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1E3D3F"/>
    <w:multiLevelType w:val="hybridMultilevel"/>
    <w:tmpl w:val="D6CE1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D743C"/>
    <w:multiLevelType w:val="hybridMultilevel"/>
    <w:tmpl w:val="F4D646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4427C7"/>
    <w:multiLevelType w:val="hybridMultilevel"/>
    <w:tmpl w:val="5E427790"/>
    <w:lvl w:ilvl="0" w:tplc="FA6A46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A71F1"/>
    <w:multiLevelType w:val="multilevel"/>
    <w:tmpl w:val="645EC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2D6719"/>
    <w:multiLevelType w:val="hybridMultilevel"/>
    <w:tmpl w:val="E5802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B0DC7"/>
    <w:multiLevelType w:val="hybridMultilevel"/>
    <w:tmpl w:val="6CD83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C724F0"/>
    <w:multiLevelType w:val="hybridMultilevel"/>
    <w:tmpl w:val="88AA5246"/>
    <w:lvl w:ilvl="0" w:tplc="0409000F">
      <w:start w:val="1"/>
      <w:numFmt w:val="decimal"/>
      <w:lvlText w:val="%1."/>
      <w:lvlJc w:val="left"/>
      <w:pPr>
        <w:ind w:left="2050" w:hanging="360"/>
      </w:pPr>
    </w:lvl>
    <w:lvl w:ilvl="1" w:tplc="04090003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34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9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810" w:hanging="180"/>
      </w:pPr>
      <w:rPr>
        <w:rFonts w:cs="Times New Roman"/>
      </w:rPr>
    </w:lvl>
  </w:abstractNum>
  <w:abstractNum w:abstractNumId="8" w15:restartNumberingAfterBreak="0">
    <w:nsid w:val="131B2982"/>
    <w:multiLevelType w:val="hybridMultilevel"/>
    <w:tmpl w:val="E7424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31AF6"/>
    <w:multiLevelType w:val="hybridMultilevel"/>
    <w:tmpl w:val="D7F43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82787"/>
    <w:multiLevelType w:val="hybridMultilevel"/>
    <w:tmpl w:val="E160D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36726"/>
    <w:multiLevelType w:val="multilevel"/>
    <w:tmpl w:val="D00A9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1343E7"/>
    <w:multiLevelType w:val="multilevel"/>
    <w:tmpl w:val="9148E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0D95737"/>
    <w:multiLevelType w:val="hybridMultilevel"/>
    <w:tmpl w:val="363AA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B64499"/>
    <w:multiLevelType w:val="hybridMultilevel"/>
    <w:tmpl w:val="EA6CD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7A161D"/>
    <w:multiLevelType w:val="multilevel"/>
    <w:tmpl w:val="35CE9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CC123B"/>
    <w:multiLevelType w:val="hybridMultilevel"/>
    <w:tmpl w:val="24982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123FD"/>
    <w:multiLevelType w:val="hybridMultilevel"/>
    <w:tmpl w:val="10BC55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C73617"/>
    <w:multiLevelType w:val="hybridMultilevel"/>
    <w:tmpl w:val="30DE1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1B4908"/>
    <w:multiLevelType w:val="hybridMultilevel"/>
    <w:tmpl w:val="1E12F23A"/>
    <w:lvl w:ilvl="0" w:tplc="4190B806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0" w15:restartNumberingAfterBreak="0">
    <w:nsid w:val="39BA51C7"/>
    <w:multiLevelType w:val="hybridMultilevel"/>
    <w:tmpl w:val="6DD64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AE53E3"/>
    <w:multiLevelType w:val="hybridMultilevel"/>
    <w:tmpl w:val="C1E02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DD4EF1"/>
    <w:multiLevelType w:val="multilevel"/>
    <w:tmpl w:val="64B6F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CDB4C23"/>
    <w:multiLevelType w:val="hybridMultilevel"/>
    <w:tmpl w:val="3D70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41064"/>
    <w:multiLevelType w:val="hybridMultilevel"/>
    <w:tmpl w:val="DE6C68E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3DEA06C1"/>
    <w:multiLevelType w:val="hybridMultilevel"/>
    <w:tmpl w:val="8390B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4906BD"/>
    <w:multiLevelType w:val="multilevel"/>
    <w:tmpl w:val="4820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4BE0304"/>
    <w:multiLevelType w:val="multilevel"/>
    <w:tmpl w:val="A9A47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3A33DB"/>
    <w:multiLevelType w:val="hybridMultilevel"/>
    <w:tmpl w:val="FE9E9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98619E"/>
    <w:multiLevelType w:val="hybridMultilevel"/>
    <w:tmpl w:val="AE740BEC"/>
    <w:lvl w:ilvl="0" w:tplc="C144E0A6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0" w15:restartNumberingAfterBreak="0">
    <w:nsid w:val="4ADA59B5"/>
    <w:multiLevelType w:val="hybridMultilevel"/>
    <w:tmpl w:val="5D7CB9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6B4685"/>
    <w:multiLevelType w:val="hybridMultilevel"/>
    <w:tmpl w:val="4A4CC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827F4E"/>
    <w:multiLevelType w:val="hybridMultilevel"/>
    <w:tmpl w:val="71C060B6"/>
    <w:lvl w:ilvl="0" w:tplc="FA6A46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C069DA"/>
    <w:multiLevelType w:val="hybridMultilevel"/>
    <w:tmpl w:val="692C5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36103B"/>
    <w:multiLevelType w:val="hybridMultilevel"/>
    <w:tmpl w:val="9EB2A5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97D5C33"/>
    <w:multiLevelType w:val="hybridMultilevel"/>
    <w:tmpl w:val="D368BBB2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6" w15:restartNumberingAfterBreak="0">
    <w:nsid w:val="5B3419AA"/>
    <w:multiLevelType w:val="hybridMultilevel"/>
    <w:tmpl w:val="337EE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8867C1"/>
    <w:multiLevelType w:val="hybridMultilevel"/>
    <w:tmpl w:val="A5BC9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205A16"/>
    <w:multiLevelType w:val="hybridMultilevel"/>
    <w:tmpl w:val="ADCE2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B94FEA"/>
    <w:multiLevelType w:val="hybridMultilevel"/>
    <w:tmpl w:val="87B81E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6B5F7B"/>
    <w:multiLevelType w:val="hybridMultilevel"/>
    <w:tmpl w:val="85B62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3A2B99"/>
    <w:multiLevelType w:val="multilevel"/>
    <w:tmpl w:val="8EB4F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7B82544"/>
    <w:multiLevelType w:val="multilevel"/>
    <w:tmpl w:val="A380F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AD218BE"/>
    <w:multiLevelType w:val="hybridMultilevel"/>
    <w:tmpl w:val="DC0A1B92"/>
    <w:lvl w:ilvl="0" w:tplc="18CA7522">
      <w:start w:val="7"/>
      <w:numFmt w:val="decimal"/>
      <w:lvlText w:val="%1."/>
      <w:lvlJc w:val="left"/>
      <w:pPr>
        <w:ind w:left="2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F01484"/>
    <w:multiLevelType w:val="hybridMultilevel"/>
    <w:tmpl w:val="77985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9E78BF"/>
    <w:multiLevelType w:val="hybridMultilevel"/>
    <w:tmpl w:val="89F03F22"/>
    <w:lvl w:ilvl="0" w:tplc="6D1C28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5D1B5E"/>
    <w:multiLevelType w:val="hybridMultilevel"/>
    <w:tmpl w:val="46EE94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32"/>
  </w:num>
  <w:num w:numId="4">
    <w:abstractNumId w:val="17"/>
  </w:num>
  <w:num w:numId="5">
    <w:abstractNumId w:val="39"/>
  </w:num>
  <w:num w:numId="6">
    <w:abstractNumId w:val="6"/>
  </w:num>
  <w:num w:numId="7">
    <w:abstractNumId w:val="5"/>
  </w:num>
  <w:num w:numId="8">
    <w:abstractNumId w:val="7"/>
  </w:num>
  <w:num w:numId="9">
    <w:abstractNumId w:val="46"/>
  </w:num>
  <w:num w:numId="10">
    <w:abstractNumId w:val="24"/>
  </w:num>
  <w:num w:numId="11">
    <w:abstractNumId w:val="35"/>
  </w:num>
  <w:num w:numId="12">
    <w:abstractNumId w:val="45"/>
  </w:num>
  <w:num w:numId="13">
    <w:abstractNumId w:val="43"/>
  </w:num>
  <w:num w:numId="14">
    <w:abstractNumId w:val="2"/>
  </w:num>
  <w:num w:numId="15">
    <w:abstractNumId w:val="19"/>
  </w:num>
  <w:num w:numId="16">
    <w:abstractNumId w:val="29"/>
  </w:num>
  <w:num w:numId="17">
    <w:abstractNumId w:val="15"/>
  </w:num>
  <w:num w:numId="18">
    <w:abstractNumId w:val="11"/>
  </w:num>
  <w:num w:numId="19">
    <w:abstractNumId w:val="41"/>
  </w:num>
  <w:num w:numId="20">
    <w:abstractNumId w:val="27"/>
  </w:num>
  <w:num w:numId="21">
    <w:abstractNumId w:val="22"/>
  </w:num>
  <w:num w:numId="22">
    <w:abstractNumId w:val="42"/>
  </w:num>
  <w:num w:numId="23">
    <w:abstractNumId w:val="26"/>
  </w:num>
  <w:num w:numId="24">
    <w:abstractNumId w:val="4"/>
  </w:num>
  <w:num w:numId="25">
    <w:abstractNumId w:val="12"/>
  </w:num>
  <w:num w:numId="26">
    <w:abstractNumId w:val="33"/>
  </w:num>
  <w:num w:numId="27">
    <w:abstractNumId w:val="20"/>
  </w:num>
  <w:num w:numId="28">
    <w:abstractNumId w:val="40"/>
  </w:num>
  <w:num w:numId="29">
    <w:abstractNumId w:val="30"/>
  </w:num>
  <w:num w:numId="30">
    <w:abstractNumId w:val="37"/>
  </w:num>
  <w:num w:numId="31">
    <w:abstractNumId w:val="36"/>
  </w:num>
  <w:num w:numId="32">
    <w:abstractNumId w:val="1"/>
  </w:num>
  <w:num w:numId="33">
    <w:abstractNumId w:val="0"/>
  </w:num>
  <w:num w:numId="34">
    <w:abstractNumId w:val="13"/>
  </w:num>
  <w:num w:numId="35">
    <w:abstractNumId w:val="16"/>
  </w:num>
  <w:num w:numId="36">
    <w:abstractNumId w:val="18"/>
  </w:num>
  <w:num w:numId="37">
    <w:abstractNumId w:val="10"/>
  </w:num>
  <w:num w:numId="38">
    <w:abstractNumId w:val="8"/>
  </w:num>
  <w:num w:numId="39">
    <w:abstractNumId w:val="25"/>
  </w:num>
  <w:num w:numId="40">
    <w:abstractNumId w:val="38"/>
  </w:num>
  <w:num w:numId="41">
    <w:abstractNumId w:val="34"/>
  </w:num>
  <w:num w:numId="42">
    <w:abstractNumId w:val="31"/>
  </w:num>
  <w:num w:numId="43">
    <w:abstractNumId w:val="21"/>
  </w:num>
  <w:num w:numId="44">
    <w:abstractNumId w:val="23"/>
  </w:num>
  <w:num w:numId="45">
    <w:abstractNumId w:val="14"/>
  </w:num>
  <w:num w:numId="46">
    <w:abstractNumId w:val="44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42C"/>
    <w:rsid w:val="00063493"/>
    <w:rsid w:val="000F1176"/>
    <w:rsid w:val="00107B89"/>
    <w:rsid w:val="0014249E"/>
    <w:rsid w:val="00155A2A"/>
    <w:rsid w:val="001734ED"/>
    <w:rsid w:val="001C12AF"/>
    <w:rsid w:val="001D2975"/>
    <w:rsid w:val="002101BE"/>
    <w:rsid w:val="00215F08"/>
    <w:rsid w:val="002512B8"/>
    <w:rsid w:val="00272042"/>
    <w:rsid w:val="00272101"/>
    <w:rsid w:val="0027474D"/>
    <w:rsid w:val="002967C4"/>
    <w:rsid w:val="00296B38"/>
    <w:rsid w:val="002A39DC"/>
    <w:rsid w:val="002B07C0"/>
    <w:rsid w:val="002D2D13"/>
    <w:rsid w:val="002E41EF"/>
    <w:rsid w:val="002F264D"/>
    <w:rsid w:val="003020B8"/>
    <w:rsid w:val="00304BF1"/>
    <w:rsid w:val="00306B32"/>
    <w:rsid w:val="0032711B"/>
    <w:rsid w:val="003329A8"/>
    <w:rsid w:val="00334126"/>
    <w:rsid w:val="0033548C"/>
    <w:rsid w:val="003376CD"/>
    <w:rsid w:val="003555FE"/>
    <w:rsid w:val="00415FD9"/>
    <w:rsid w:val="0048194B"/>
    <w:rsid w:val="00483404"/>
    <w:rsid w:val="004B3A0C"/>
    <w:rsid w:val="004B4664"/>
    <w:rsid w:val="00584E93"/>
    <w:rsid w:val="005A1315"/>
    <w:rsid w:val="005B46DD"/>
    <w:rsid w:val="005B5050"/>
    <w:rsid w:val="00603163"/>
    <w:rsid w:val="00611F07"/>
    <w:rsid w:val="0065249A"/>
    <w:rsid w:val="006E142C"/>
    <w:rsid w:val="006F6F3A"/>
    <w:rsid w:val="007040D8"/>
    <w:rsid w:val="0071404F"/>
    <w:rsid w:val="0073195C"/>
    <w:rsid w:val="00740D8B"/>
    <w:rsid w:val="007677D5"/>
    <w:rsid w:val="00770641"/>
    <w:rsid w:val="0078190C"/>
    <w:rsid w:val="00792DA9"/>
    <w:rsid w:val="007975B2"/>
    <w:rsid w:val="00797BD1"/>
    <w:rsid w:val="007A02DD"/>
    <w:rsid w:val="007D7C94"/>
    <w:rsid w:val="007E54CE"/>
    <w:rsid w:val="007F5C04"/>
    <w:rsid w:val="007F7C35"/>
    <w:rsid w:val="00847545"/>
    <w:rsid w:val="00882F5B"/>
    <w:rsid w:val="00897CB6"/>
    <w:rsid w:val="008B056A"/>
    <w:rsid w:val="008E0A8B"/>
    <w:rsid w:val="00942A15"/>
    <w:rsid w:val="00960BCA"/>
    <w:rsid w:val="00961C00"/>
    <w:rsid w:val="009A3716"/>
    <w:rsid w:val="009E2D4B"/>
    <w:rsid w:val="00A16E28"/>
    <w:rsid w:val="00A378ED"/>
    <w:rsid w:val="00A50CE4"/>
    <w:rsid w:val="00A81AFA"/>
    <w:rsid w:val="00AB50D2"/>
    <w:rsid w:val="00AB570C"/>
    <w:rsid w:val="00AC120B"/>
    <w:rsid w:val="00AC5C0B"/>
    <w:rsid w:val="00AD7CFC"/>
    <w:rsid w:val="00B15B56"/>
    <w:rsid w:val="00B6318D"/>
    <w:rsid w:val="00B6436E"/>
    <w:rsid w:val="00B959A9"/>
    <w:rsid w:val="00BB197F"/>
    <w:rsid w:val="00BF50BA"/>
    <w:rsid w:val="00C02A3A"/>
    <w:rsid w:val="00C0645B"/>
    <w:rsid w:val="00C1601B"/>
    <w:rsid w:val="00C348C5"/>
    <w:rsid w:val="00C6797A"/>
    <w:rsid w:val="00C84028"/>
    <w:rsid w:val="00C93054"/>
    <w:rsid w:val="00C931D7"/>
    <w:rsid w:val="00CC461A"/>
    <w:rsid w:val="00D16517"/>
    <w:rsid w:val="00D6273E"/>
    <w:rsid w:val="00D637D5"/>
    <w:rsid w:val="00D76C68"/>
    <w:rsid w:val="00DA12A7"/>
    <w:rsid w:val="00DA5C1F"/>
    <w:rsid w:val="00DC1230"/>
    <w:rsid w:val="00DC38D7"/>
    <w:rsid w:val="00EA1F5D"/>
    <w:rsid w:val="00EB34CF"/>
    <w:rsid w:val="00EC31C8"/>
    <w:rsid w:val="00ED1768"/>
    <w:rsid w:val="00EE59E3"/>
    <w:rsid w:val="00EF1162"/>
    <w:rsid w:val="00F43C74"/>
    <w:rsid w:val="00F6666C"/>
    <w:rsid w:val="00F703DB"/>
    <w:rsid w:val="00FD40F7"/>
    <w:rsid w:val="00FE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DCCCC4A2-F196-4533-AC9C-58F1C0F2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41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3A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34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155A2A"/>
    <w:pPr>
      <w:keepNext/>
      <w:spacing w:before="200" w:after="0" w:line="240" w:lineRule="auto"/>
      <w:outlineLvl w:val="4"/>
    </w:pPr>
    <w:rPr>
      <w:rFonts w:ascii="Cambria" w:hAnsi="Cambria" w:cs="Times New Roman"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42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E41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F7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C35"/>
  </w:style>
  <w:style w:type="paragraph" w:styleId="Footer">
    <w:name w:val="footer"/>
    <w:basedOn w:val="Normal"/>
    <w:link w:val="FooterChar"/>
    <w:uiPriority w:val="99"/>
    <w:unhideWhenUsed/>
    <w:rsid w:val="007F7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C35"/>
  </w:style>
  <w:style w:type="paragraph" w:styleId="BalloonText">
    <w:name w:val="Balloon Text"/>
    <w:basedOn w:val="Normal"/>
    <w:link w:val="BalloonTextChar"/>
    <w:uiPriority w:val="99"/>
    <w:semiHidden/>
    <w:unhideWhenUsed/>
    <w:rsid w:val="00DC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8D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C38D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5A2A"/>
    <w:rPr>
      <w:rFonts w:ascii="Cambria" w:hAnsi="Cambria" w:cs="Times New Roman"/>
      <w:color w:val="243F60"/>
      <w:sz w:val="24"/>
      <w:szCs w:val="24"/>
    </w:rPr>
  </w:style>
  <w:style w:type="character" w:customStyle="1" w:styleId="apple-converted-space">
    <w:name w:val="apple-converted-space"/>
    <w:basedOn w:val="DefaultParagraphFont"/>
    <w:rsid w:val="00155A2A"/>
  </w:style>
  <w:style w:type="character" w:styleId="Hyperlink">
    <w:name w:val="Hyperlink"/>
    <w:basedOn w:val="DefaultParagraphFont"/>
    <w:uiPriority w:val="99"/>
    <w:unhideWhenUsed/>
    <w:rsid w:val="00155A2A"/>
    <w:rPr>
      <w:color w:val="0000FF"/>
      <w:u w:val="single"/>
    </w:rPr>
  </w:style>
  <w:style w:type="paragraph" w:customStyle="1" w:styleId="red1">
    <w:name w:val="red1"/>
    <w:basedOn w:val="Normal"/>
    <w:uiPriority w:val="99"/>
    <w:semiHidden/>
    <w:rsid w:val="00155A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ed">
    <w:name w:val="red"/>
    <w:basedOn w:val="DefaultParagraphFont"/>
    <w:rsid w:val="00155A2A"/>
  </w:style>
  <w:style w:type="character" w:customStyle="1" w:styleId="Heading2Char">
    <w:name w:val="Heading 2 Char"/>
    <w:basedOn w:val="DefaultParagraphFont"/>
    <w:link w:val="Heading2"/>
    <w:uiPriority w:val="9"/>
    <w:semiHidden/>
    <w:rsid w:val="004B3A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349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A16E28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A16E28"/>
    <w:rPr>
      <w:i/>
      <w:iCs/>
    </w:rPr>
  </w:style>
  <w:style w:type="character" w:customStyle="1" w:styleId="hiddentext">
    <w:name w:val="hiddentext"/>
    <w:basedOn w:val="DefaultParagraphFont"/>
    <w:rsid w:val="00A16E28"/>
  </w:style>
  <w:style w:type="table" w:styleId="TableGrid">
    <w:name w:val="Table Grid"/>
    <w:basedOn w:val="TableNormal"/>
    <w:uiPriority w:val="59"/>
    <w:rsid w:val="00DA1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0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ugusta.edu/services/ehs/biosaf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Health Sciences University</Company>
  <LinksUpToDate>false</LinksUpToDate>
  <CharactersWithSpaces>8608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lmeyer</dc:creator>
  <cp:lastModifiedBy>Higgenbotham, Lelia</cp:lastModifiedBy>
  <cp:revision>2</cp:revision>
  <cp:lastPrinted>2017-02-17T20:05:00Z</cp:lastPrinted>
  <dcterms:created xsi:type="dcterms:W3CDTF">2017-02-22T13:32:00Z</dcterms:created>
  <dcterms:modified xsi:type="dcterms:W3CDTF">2017-02-22T13:32:00Z</dcterms:modified>
</cp:coreProperties>
</file>